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98E69">
      <w:pPr>
        <w:spacing w:line="58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安岳县人民代表大会常务委员会办公室</w:t>
      </w:r>
    </w:p>
    <w:p w14:paraId="1473A82D">
      <w:pPr>
        <w:spacing w:line="580" w:lineRule="exact"/>
        <w:jc w:val="center"/>
        <w:rPr>
          <w:rFonts w:hint="eastAsia" w:ascii="Times New Roman" w:hAnsi="Times New Roman" w:eastAsia="方正小标宋简体"/>
        </w:rPr>
      </w:pPr>
      <w:r>
        <w:rPr>
          <w:rFonts w:hint="eastAsia" w:eastAsia="方正小标宋简体"/>
          <w:sz w:val="44"/>
          <w:szCs w:val="44"/>
          <w:lang w:eastAsia="zh-CN"/>
        </w:rPr>
        <w:t>2026年</w:t>
      </w:r>
      <w:r>
        <w:rPr>
          <w:rFonts w:hint="eastAsia" w:eastAsia="方正小标宋简体"/>
          <w:sz w:val="44"/>
          <w:szCs w:val="44"/>
          <w:lang w:val="en-US" w:eastAsia="zh-CN"/>
        </w:rPr>
        <w:t>单位</w:t>
      </w:r>
      <w:bookmarkStart w:id="0" w:name="_GoBack"/>
      <w:bookmarkEnd w:id="0"/>
      <w:r>
        <w:rPr>
          <w:rFonts w:hint="eastAsia" w:ascii="Times New Roman" w:hAnsi="Times New Roman" w:eastAsia="方正小标宋简体"/>
          <w:sz w:val="44"/>
          <w:szCs w:val="44"/>
        </w:rPr>
        <w:t>预算编制说明</w:t>
      </w:r>
    </w:p>
    <w:p w14:paraId="717324D9">
      <w:pPr>
        <w:spacing w:line="580" w:lineRule="exact"/>
        <w:ind w:left="0" w:leftChars="0" w:firstLine="0" w:firstLineChars="0"/>
        <w:jc w:val="left"/>
        <w:rPr>
          <w:rFonts w:ascii="Times New Roman" w:hAnsi="Times New Roman" w:eastAsia="方正仿宋_GBK"/>
        </w:rPr>
      </w:pPr>
    </w:p>
    <w:p w14:paraId="062C6CEC">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一、基本职能及主要工作</w:t>
      </w:r>
    </w:p>
    <w:p w14:paraId="2CD09AA6">
      <w:pPr>
        <w:keepNext w:val="0"/>
        <w:keepLines w:val="0"/>
        <w:pageBreakBefore w:val="0"/>
        <w:widowControl w:val="0"/>
        <w:kinsoku/>
        <w:wordWrap/>
        <w:overflowPunct/>
        <w:topLinePunct w:val="0"/>
        <w:autoSpaceDE/>
        <w:autoSpaceDN/>
        <w:bidi w:val="0"/>
        <w:spacing w:line="580" w:lineRule="exact"/>
        <w:ind w:left="0" w:leftChars="0" w:firstLine="643" w:firstLineChars="200"/>
        <w:jc w:val="left"/>
        <w:textAlignment w:val="auto"/>
        <w:rPr>
          <w:rFonts w:hint="eastAsia" w:ascii="Times New Roman" w:hAnsi="Times New Roman" w:eastAsia="方正仿宋_GBK" w:cs="方正仿宋_GBK"/>
          <w:b w:val="0"/>
          <w:bCs w:val="0"/>
          <w:szCs w:val="32"/>
          <w:lang w:eastAsia="zh-CN"/>
        </w:rPr>
      </w:pPr>
      <w:r>
        <w:rPr>
          <w:rFonts w:ascii="Times New Roman" w:hAnsi="Times New Roman" w:eastAsia="方正楷体_GBK"/>
          <w:b/>
          <w:bCs/>
          <w:szCs w:val="32"/>
        </w:rPr>
        <w:t>（一）职能简介</w:t>
      </w:r>
    </w:p>
    <w:p w14:paraId="72FBF82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left"/>
        <w:textAlignment w:val="auto"/>
        <w:rPr>
          <w:rFonts w:hint="eastAsia" w:ascii="Times New Roman" w:hAnsi="Times New Roman" w:eastAsia="方正仿宋_GBK" w:cs="方正仿宋_GBK"/>
          <w:b w:val="0"/>
          <w:bCs w:val="0"/>
          <w:szCs w:val="32"/>
          <w:lang w:eastAsia="zh-CN"/>
        </w:rPr>
      </w:pPr>
      <w:r>
        <w:rPr>
          <w:rFonts w:hint="eastAsia" w:ascii="Times New Roman" w:hAnsi="Times New Roman" w:eastAsia="方正仿宋_GBK" w:cs="方正仿宋_GBK"/>
          <w:b w:val="0"/>
          <w:bCs w:val="0"/>
          <w:szCs w:val="32"/>
          <w:lang w:eastAsia="zh-CN"/>
        </w:rPr>
        <w:t>草拟常委会工作计划、报告、总结、人代会和常委会及主任会议会前会后有关文件、公报、复函；初核以常委会上报、下发的报告、通知、材料；办理办公室职责范围内文件、通知、简报等；负责公文的送签、运转、清退、管理和文件、资料的打印、传送、立卷归档工作；接待和处理人大代表、人民群众来信、来访，参与重大信访件的研究处理和协调工作，按季度分析信访动态，为常委会领导提供情况，加强与县委、县政府信访群工局及政府有关部门、本会各工委的信访联系、督促重要信访案件的办理工作；办理领导签批的有关请示报告，参加有关问题的调查研究，收集和处理有关信息、资料；办理人代会、常委会和机关召开的有关会议的行政事务工作和常委会机关人事、劳动工资及病丧等方面工作；负责管理机关各项经费的收支；负责机关办公用房、职工宿舍（公共部分）及配套设施、车辆、办公用具（品）、书报征订的安排、管理、添制、维修工作；接待和办理有关客人食宿等具体事宜；组织搞好机关绿化、美化、环境卫生和保卫等工作；配合机关党支部、各种工作领导小组和各工委，搞好机关职工各项学习活动和机关保密、精神文明、计划生育、联系常委会安排的乡镇人大主席团工作；牵头协调工委工作、办理常委会或领导交办的其它各项工作。</w:t>
      </w:r>
    </w:p>
    <w:p w14:paraId="1542ED53">
      <w:pPr>
        <w:keepNext w:val="0"/>
        <w:keepLines w:val="0"/>
        <w:pageBreakBefore w:val="0"/>
        <w:widowControl w:val="0"/>
        <w:kinsoku/>
        <w:wordWrap/>
        <w:overflowPunct/>
        <w:topLinePunct w:val="0"/>
        <w:autoSpaceDE/>
        <w:autoSpaceDN/>
        <w:bidi w:val="0"/>
        <w:spacing w:line="580" w:lineRule="exact"/>
        <w:ind w:left="0" w:leftChars="0" w:firstLine="643" w:firstLineChars="200"/>
        <w:jc w:val="left"/>
        <w:textAlignment w:val="auto"/>
        <w:rPr>
          <w:rFonts w:ascii="Times New Roman" w:hAnsi="Times New Roman" w:eastAsia="方正楷体_GBK"/>
          <w:b/>
          <w:bCs/>
          <w:szCs w:val="32"/>
        </w:rPr>
      </w:pPr>
      <w:r>
        <w:rPr>
          <w:rFonts w:ascii="Times New Roman" w:hAnsi="Times New Roman" w:eastAsia="方正楷体_GBK"/>
          <w:b/>
          <w:bCs/>
          <w:szCs w:val="32"/>
        </w:rPr>
        <w:t>（二）</w:t>
      </w:r>
      <w:r>
        <w:rPr>
          <w:rFonts w:hint="eastAsia" w:eastAsia="方正楷体_GBK"/>
          <w:b/>
          <w:bCs/>
          <w:szCs w:val="32"/>
          <w:lang w:eastAsia="zh-CN"/>
        </w:rPr>
        <w:t>2026年</w:t>
      </w:r>
      <w:r>
        <w:rPr>
          <w:rFonts w:ascii="Times New Roman" w:hAnsi="Times New Roman" w:eastAsia="方正楷体_GBK"/>
          <w:b/>
          <w:bCs/>
          <w:szCs w:val="32"/>
        </w:rPr>
        <w:t>重点工作</w:t>
      </w:r>
    </w:p>
    <w:p w14:paraId="147ABE7F">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default" w:ascii="Times New Roman" w:hAnsi="Times New Roman" w:eastAsia="方正仿宋_GBK" w:cs="方正仿宋_GBK"/>
          <w:b w:val="0"/>
          <w:bCs w:val="0"/>
          <w:szCs w:val="32"/>
          <w:highlight w:val="yellow"/>
          <w:lang w:val="en-US" w:eastAsia="zh-CN"/>
        </w:rPr>
      </w:pPr>
      <w:r>
        <w:rPr>
          <w:rFonts w:hint="eastAsia" w:ascii="Times New Roman" w:hAnsi="Times New Roman" w:eastAsia="方正仿宋_GBK" w:cs="方正仿宋_GBK"/>
          <w:b w:val="0"/>
          <w:bCs w:val="0"/>
          <w:szCs w:val="32"/>
          <w:highlight w:val="none"/>
          <w:lang w:val="en-US" w:eastAsia="zh-CN"/>
        </w:rPr>
        <w:t>2026年是实施“十五五”规划的开局之年，也是安岳加快建设成渝中部特色鲜明的宜业宜居城市的关键之年。县人大常委会将坚持以习近平新时代中国特色社会主义思想为指导，全面贯彻党的二十大和二十届历次全会精神，坚持党的领导、人民当家作主、依法治国有机统一，忠实履行宪法和法律赋予的各项职责，深入践行全过程人民民主，为奋力谱写中国式现代化安岳新篇章提供法治保障、贡献人大力量。在总体思路下，拟听取和审议专项工作报告1</w:t>
      </w:r>
      <w:r>
        <w:rPr>
          <w:rFonts w:hint="eastAsia" w:eastAsia="方正仿宋_GBK" w:cs="方正仿宋_GBK"/>
          <w:b w:val="0"/>
          <w:bCs w:val="0"/>
          <w:szCs w:val="32"/>
          <w:highlight w:val="none"/>
          <w:lang w:val="en-US" w:eastAsia="zh-CN"/>
        </w:rPr>
        <w:t>9</w:t>
      </w:r>
      <w:r>
        <w:rPr>
          <w:rFonts w:hint="eastAsia" w:ascii="Times New Roman" w:hAnsi="Times New Roman" w:eastAsia="方正仿宋_GBK" w:cs="方正仿宋_GBK"/>
          <w:b w:val="0"/>
          <w:bCs w:val="0"/>
          <w:szCs w:val="32"/>
          <w:highlight w:val="none"/>
          <w:lang w:val="en-US" w:eastAsia="zh-CN"/>
        </w:rPr>
        <w:t>项，听取工作报告</w:t>
      </w:r>
      <w:r>
        <w:rPr>
          <w:rFonts w:hint="eastAsia" w:eastAsia="方正仿宋_GBK" w:cs="方正仿宋_GBK"/>
          <w:b w:val="0"/>
          <w:bCs w:val="0"/>
          <w:szCs w:val="32"/>
          <w:highlight w:val="none"/>
          <w:lang w:val="en-US" w:eastAsia="zh-CN"/>
        </w:rPr>
        <w:t>4</w:t>
      </w:r>
      <w:r>
        <w:rPr>
          <w:rFonts w:hint="eastAsia" w:ascii="Times New Roman" w:hAnsi="Times New Roman" w:eastAsia="方正仿宋_GBK" w:cs="方正仿宋_GBK"/>
          <w:b w:val="0"/>
          <w:bCs w:val="0"/>
          <w:szCs w:val="32"/>
          <w:highlight w:val="none"/>
          <w:lang w:val="en-US" w:eastAsia="zh-CN"/>
        </w:rPr>
        <w:t>项，执法检查3次，专项视察</w:t>
      </w:r>
      <w:r>
        <w:rPr>
          <w:rFonts w:hint="eastAsia" w:eastAsia="方正仿宋_GBK" w:cs="方正仿宋_GBK"/>
          <w:b w:val="0"/>
          <w:bCs w:val="0"/>
          <w:szCs w:val="32"/>
          <w:highlight w:val="none"/>
          <w:lang w:val="en-US" w:eastAsia="zh-CN"/>
        </w:rPr>
        <w:t>2</w:t>
      </w:r>
      <w:r>
        <w:rPr>
          <w:rFonts w:hint="eastAsia" w:ascii="Times New Roman" w:hAnsi="Times New Roman" w:eastAsia="方正仿宋_GBK" w:cs="方正仿宋_GBK"/>
          <w:b w:val="0"/>
          <w:bCs w:val="0"/>
          <w:szCs w:val="32"/>
          <w:highlight w:val="none"/>
          <w:lang w:val="en-US" w:eastAsia="zh-CN"/>
        </w:rPr>
        <w:t>次，专项督导（审查）</w:t>
      </w:r>
      <w:r>
        <w:rPr>
          <w:rFonts w:hint="eastAsia" w:eastAsia="方正仿宋_GBK" w:cs="方正仿宋_GBK"/>
          <w:b w:val="0"/>
          <w:bCs w:val="0"/>
          <w:szCs w:val="32"/>
          <w:highlight w:val="none"/>
          <w:lang w:val="en-US" w:eastAsia="zh-CN"/>
        </w:rPr>
        <w:t>4</w:t>
      </w:r>
      <w:r>
        <w:rPr>
          <w:rFonts w:hint="eastAsia" w:ascii="Times New Roman" w:hAnsi="Times New Roman" w:eastAsia="方正仿宋_GBK" w:cs="方正仿宋_GBK"/>
          <w:b w:val="0"/>
          <w:bCs w:val="0"/>
          <w:szCs w:val="32"/>
          <w:highlight w:val="none"/>
          <w:lang w:val="en-US" w:eastAsia="zh-CN"/>
        </w:rPr>
        <w:t>次，规范性文件备案审查1次，审议意见落实情况跟踪监督6项，讨论决定重大事项</w:t>
      </w:r>
      <w:r>
        <w:rPr>
          <w:rFonts w:hint="eastAsia" w:eastAsia="方正仿宋_GBK" w:cs="方正仿宋_GBK"/>
          <w:b w:val="0"/>
          <w:bCs w:val="0"/>
          <w:szCs w:val="32"/>
          <w:highlight w:val="none"/>
          <w:lang w:val="en-US" w:eastAsia="zh-CN"/>
        </w:rPr>
        <w:t>3</w:t>
      </w:r>
      <w:r>
        <w:rPr>
          <w:rFonts w:hint="eastAsia" w:ascii="Times New Roman" w:hAnsi="Times New Roman" w:eastAsia="方正仿宋_GBK" w:cs="方正仿宋_GBK"/>
          <w:b w:val="0"/>
          <w:bCs w:val="0"/>
          <w:szCs w:val="32"/>
          <w:highlight w:val="none"/>
          <w:lang w:val="en-US" w:eastAsia="zh-CN"/>
        </w:rPr>
        <w:t>项，重大调研课题</w:t>
      </w:r>
      <w:r>
        <w:rPr>
          <w:rFonts w:hint="eastAsia" w:eastAsia="方正仿宋_GBK" w:cs="方正仿宋_GBK"/>
          <w:b w:val="0"/>
          <w:bCs w:val="0"/>
          <w:szCs w:val="32"/>
          <w:highlight w:val="none"/>
          <w:lang w:val="en-US" w:eastAsia="zh-CN"/>
        </w:rPr>
        <w:t>5</w:t>
      </w:r>
      <w:r>
        <w:rPr>
          <w:rFonts w:hint="eastAsia" w:ascii="Times New Roman" w:hAnsi="Times New Roman" w:eastAsia="方正仿宋_GBK" w:cs="方正仿宋_GBK"/>
          <w:b w:val="0"/>
          <w:bCs w:val="0"/>
          <w:szCs w:val="32"/>
          <w:highlight w:val="none"/>
          <w:lang w:val="en-US" w:eastAsia="zh-CN"/>
        </w:rPr>
        <w:t>项，组织学习法律法规</w:t>
      </w:r>
      <w:r>
        <w:rPr>
          <w:rFonts w:hint="eastAsia" w:eastAsia="方正仿宋_GBK" w:cs="方正仿宋_GBK"/>
          <w:b w:val="0"/>
          <w:bCs w:val="0"/>
          <w:szCs w:val="32"/>
          <w:highlight w:val="none"/>
          <w:lang w:val="en-US" w:eastAsia="zh-CN"/>
        </w:rPr>
        <w:t>4</w:t>
      </w:r>
      <w:r>
        <w:rPr>
          <w:rFonts w:hint="eastAsia" w:ascii="Times New Roman" w:hAnsi="Times New Roman" w:eastAsia="方正仿宋_GBK" w:cs="方正仿宋_GBK"/>
          <w:b w:val="0"/>
          <w:bCs w:val="0"/>
          <w:szCs w:val="32"/>
          <w:highlight w:val="none"/>
          <w:lang w:val="en-US" w:eastAsia="zh-CN"/>
        </w:rPr>
        <w:t>部以及各项业务工作知识。</w:t>
      </w:r>
    </w:p>
    <w:p w14:paraId="2AC2CC9D">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二、单位基本概况</w:t>
      </w:r>
    </w:p>
    <w:p w14:paraId="186FBC18">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hint="default" w:ascii="Times New Roman" w:hAnsi="Times New Roman" w:eastAsia="方正楷体_GBK"/>
          <w:szCs w:val="32"/>
          <w:lang w:val="en-US" w:eastAsia="zh-CN"/>
        </w:rPr>
      </w:pPr>
      <w:r>
        <w:rPr>
          <w:rFonts w:ascii="Times New Roman" w:hAnsi="Times New Roman" w:eastAsia="方正楷体_GBK"/>
          <w:b/>
          <w:bCs/>
          <w:szCs w:val="32"/>
        </w:rPr>
        <w:t>（一）</w:t>
      </w:r>
      <w:r>
        <w:rPr>
          <w:rFonts w:hint="eastAsia" w:ascii="Times New Roman" w:hAnsi="Times New Roman" w:eastAsia="方正楷体_GBK"/>
          <w:b/>
          <w:bCs/>
          <w:szCs w:val="32"/>
        </w:rPr>
        <w:t>单位</w:t>
      </w:r>
      <w:r>
        <w:rPr>
          <w:rFonts w:ascii="Times New Roman" w:hAnsi="Times New Roman" w:eastAsia="方正楷体_GBK"/>
          <w:b/>
          <w:bCs/>
          <w:szCs w:val="32"/>
        </w:rPr>
        <w:t>机构构成。</w:t>
      </w:r>
      <w:r>
        <w:rPr>
          <w:rFonts w:hint="eastAsia" w:ascii="Times New Roman" w:hAnsi="Times New Roman" w:eastAsia="方正仿宋_GBK"/>
          <w:szCs w:val="32"/>
          <w:lang w:val="en-US" w:eastAsia="zh-CN"/>
        </w:rPr>
        <w:t>本单位属于行政单位，无下属事业单位。</w:t>
      </w:r>
    </w:p>
    <w:p w14:paraId="7C98BB64">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ascii="Times New Roman" w:hAnsi="Times New Roman" w:eastAsia="黑体"/>
          <w:sz w:val="32"/>
          <w:szCs w:val="32"/>
        </w:rPr>
      </w:pPr>
      <w:r>
        <w:rPr>
          <w:rFonts w:ascii="Times New Roman" w:hAnsi="Times New Roman" w:eastAsia="方正楷体_GBK"/>
          <w:b/>
          <w:bCs/>
          <w:szCs w:val="32"/>
        </w:rPr>
        <w:t>（二）</w:t>
      </w:r>
      <w:r>
        <w:rPr>
          <w:rFonts w:hint="eastAsia" w:ascii="Times New Roman" w:hAnsi="Times New Roman" w:eastAsia="方正楷体_GBK"/>
          <w:b/>
          <w:bCs/>
          <w:szCs w:val="32"/>
        </w:rPr>
        <w:t>单位</w:t>
      </w:r>
      <w:r>
        <w:rPr>
          <w:rFonts w:ascii="Times New Roman" w:hAnsi="Times New Roman" w:eastAsia="方正楷体_GBK"/>
          <w:b/>
          <w:bCs/>
          <w:szCs w:val="32"/>
        </w:rPr>
        <w:t>人员构成。</w:t>
      </w:r>
      <w:r>
        <w:rPr>
          <w:rFonts w:hint="eastAsia" w:ascii="Times New Roman" w:hAnsi="Times New Roman" w:eastAsia="方正仿宋_GBK"/>
          <w:szCs w:val="32"/>
          <w:lang w:val="en-US" w:eastAsia="zh-CN"/>
        </w:rPr>
        <w:t>截至2025年12月31日，</w:t>
      </w:r>
      <w:r>
        <w:rPr>
          <w:rFonts w:hint="eastAsia" w:eastAsia="方正仿宋_GBK"/>
          <w:szCs w:val="32"/>
          <w:lang w:val="en-US" w:eastAsia="zh-CN"/>
        </w:rPr>
        <w:t>安岳县人民代表大会常务委员会办公室实有行政人员23人，行政工勤人员2人，退休人员34人，遗属人员5人。</w:t>
      </w:r>
    </w:p>
    <w:p w14:paraId="65164011">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三、收支预算情况说明</w:t>
      </w:r>
    </w:p>
    <w:p w14:paraId="7D5AAF66">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eastAsia" w:ascii="Times New Roman" w:hAnsi="Times New Roman" w:eastAsia="方正仿宋_GBK"/>
          <w:color w:val="FF0000"/>
          <w:szCs w:val="32"/>
          <w:lang w:val="en-US" w:eastAsia="zh-CN"/>
        </w:rPr>
      </w:pPr>
      <w:r>
        <w:rPr>
          <w:rFonts w:hint="eastAsia" w:ascii="Times New Roman" w:hAnsi="Times New Roman" w:eastAsia="方正仿宋_GBK"/>
          <w:szCs w:val="32"/>
          <w:lang w:val="en-US" w:eastAsia="zh-CN"/>
        </w:rPr>
        <w:t>按照综合预算的原则，</w:t>
      </w:r>
      <w:r>
        <w:rPr>
          <w:rFonts w:hint="eastAsia" w:eastAsia="方正仿宋_GBK" w:cs="方正仿宋_GBK"/>
          <w:b w:val="0"/>
          <w:bCs w:val="0"/>
          <w:szCs w:val="32"/>
          <w:lang w:val="en-US" w:eastAsia="zh-CN"/>
        </w:rPr>
        <w:t>安岳县人民代表大会常务委员会办公室</w:t>
      </w:r>
      <w:r>
        <w:rPr>
          <w:rFonts w:hint="eastAsia" w:ascii="Times New Roman" w:hAnsi="Times New Roman" w:eastAsia="方正仿宋_GBK"/>
          <w:szCs w:val="32"/>
          <w:lang w:val="en-US" w:eastAsia="zh-CN"/>
        </w:rPr>
        <w:t>部门所有收入和支出均纳入部门预算管理。收入包括：一般公共预算拨款收入</w:t>
      </w:r>
      <w:r>
        <w:rPr>
          <w:rFonts w:hint="eastAsia" w:ascii="Times New Roman" w:hAnsi="Times New Roman" w:eastAsia="方正仿宋_GBK"/>
          <w:szCs w:val="32"/>
          <w:u w:val="none"/>
          <w:lang w:val="en-US" w:eastAsia="zh-CN"/>
        </w:rPr>
        <w:t>、其他收入、上年结转；</w:t>
      </w:r>
      <w:r>
        <w:rPr>
          <w:rFonts w:hint="eastAsia" w:ascii="Times New Roman" w:hAnsi="Times New Roman" w:eastAsia="方正仿宋_GBK"/>
          <w:color w:val="auto"/>
          <w:sz w:val="32"/>
          <w:szCs w:val="32"/>
          <w:u w:val="none"/>
        </w:rPr>
        <w:t>支出包括：一般公共服务支出、社会保障和就业支出</w:t>
      </w:r>
      <w:r>
        <w:rPr>
          <w:rFonts w:hint="eastAsia" w:eastAsia="方正仿宋_GBK"/>
          <w:color w:val="auto"/>
          <w:sz w:val="32"/>
          <w:szCs w:val="32"/>
          <w:u w:val="none"/>
          <w:lang w:eastAsia="zh-CN"/>
        </w:rPr>
        <w:t>、卫生健康支出、住房保障支出</w:t>
      </w:r>
      <w:r>
        <w:rPr>
          <w:rFonts w:hint="eastAsia" w:ascii="Times New Roman" w:hAnsi="Times New Roman" w:eastAsia="方正仿宋_GBK"/>
          <w:color w:val="auto"/>
          <w:sz w:val="32"/>
          <w:szCs w:val="32"/>
          <w:u w:val="none"/>
        </w:rPr>
        <w:t>。</w:t>
      </w:r>
      <w:r>
        <w:rPr>
          <w:rFonts w:hint="eastAsia" w:eastAsia="方正仿宋_GBK"/>
          <w:szCs w:val="32"/>
          <w:u w:val="none"/>
          <w:lang w:val="en-US" w:eastAsia="zh-CN"/>
        </w:rPr>
        <w:t>安岳县人民代表大会常务委员会办公室</w:t>
      </w:r>
      <w:r>
        <w:rPr>
          <w:rFonts w:hint="eastAsia" w:eastAsia="方正仿宋_GBK"/>
          <w:color w:val="auto"/>
          <w:sz w:val="32"/>
          <w:szCs w:val="32"/>
          <w:u w:val="none"/>
          <w:lang w:eastAsia="zh-CN"/>
        </w:rPr>
        <w:t>2026年</w:t>
      </w:r>
      <w:r>
        <w:rPr>
          <w:rFonts w:hint="eastAsia" w:ascii="Times New Roman" w:hAnsi="Times New Roman" w:eastAsia="方正仿宋_GBK"/>
          <w:color w:val="auto"/>
          <w:sz w:val="32"/>
          <w:szCs w:val="32"/>
          <w:u w:val="none"/>
        </w:rPr>
        <w:t>收支总预算</w:t>
      </w:r>
      <w:r>
        <w:rPr>
          <w:rFonts w:hint="eastAsia" w:eastAsia="方正仿宋_GBK"/>
          <w:color w:val="auto"/>
          <w:sz w:val="32"/>
          <w:szCs w:val="32"/>
          <w:u w:val="none"/>
          <w:lang w:val="en-US" w:eastAsia="zh-CN"/>
        </w:rPr>
        <w:t>1,533.37</w:t>
      </w:r>
      <w:r>
        <w:rPr>
          <w:rFonts w:hint="eastAsia" w:ascii="Times New Roman" w:hAnsi="Times New Roman" w:eastAsia="方正仿宋_GBK"/>
          <w:color w:val="auto"/>
          <w:sz w:val="32"/>
          <w:szCs w:val="32"/>
          <w:u w:val="none"/>
        </w:rPr>
        <w:t>万元，比</w:t>
      </w:r>
      <w:r>
        <w:rPr>
          <w:rFonts w:hint="eastAsia" w:eastAsia="方正仿宋_GBK"/>
          <w:color w:val="auto"/>
          <w:sz w:val="32"/>
          <w:szCs w:val="32"/>
          <w:u w:val="none"/>
          <w:lang w:eastAsia="zh-CN"/>
        </w:rPr>
        <w:t>2025年</w:t>
      </w:r>
      <w:r>
        <w:rPr>
          <w:rFonts w:hint="eastAsia" w:ascii="Times New Roman" w:hAnsi="Times New Roman" w:eastAsia="方正仿宋_GBK"/>
          <w:color w:val="auto"/>
          <w:sz w:val="32"/>
          <w:szCs w:val="32"/>
          <w:u w:val="none"/>
        </w:rPr>
        <w:t>收支预算总数</w:t>
      </w:r>
      <w:r>
        <w:rPr>
          <w:rFonts w:hint="eastAsia" w:ascii="Times New Roman" w:hAnsi="Times New Roman" w:eastAsia="方正仿宋_GBK"/>
          <w:color w:val="auto"/>
          <w:sz w:val="32"/>
          <w:szCs w:val="32"/>
        </w:rPr>
        <w:t>增加</w:t>
      </w:r>
      <w:r>
        <w:rPr>
          <w:rFonts w:hint="eastAsia" w:eastAsia="方正仿宋_GBK"/>
          <w:color w:val="auto"/>
          <w:sz w:val="32"/>
          <w:szCs w:val="32"/>
          <w:lang w:val="en-US" w:eastAsia="zh-CN"/>
        </w:rPr>
        <w:t xml:space="preserve">  741.55</w:t>
      </w:r>
      <w:r>
        <w:rPr>
          <w:rFonts w:hint="eastAsia" w:ascii="Times New Roman" w:hAnsi="Times New Roman" w:eastAsia="方正仿宋_GBK"/>
          <w:color w:val="auto"/>
          <w:sz w:val="32"/>
          <w:szCs w:val="32"/>
        </w:rPr>
        <w:t>万元，主要原因是</w:t>
      </w:r>
      <w:r>
        <w:rPr>
          <w:rFonts w:hint="eastAsia" w:eastAsia="方正仿宋_GBK"/>
          <w:color w:val="auto"/>
          <w:sz w:val="32"/>
          <w:szCs w:val="32"/>
          <w:lang w:val="en-US" w:eastAsia="zh-CN"/>
        </w:rPr>
        <w:t>新增一次性项目2026年换届选举经费</w:t>
      </w:r>
      <w:r>
        <w:rPr>
          <w:rFonts w:hint="eastAsia" w:ascii="Times New Roman" w:hAnsi="Times New Roman" w:eastAsia="方正仿宋_GBK"/>
          <w:color w:val="auto"/>
          <w:sz w:val="32"/>
          <w:szCs w:val="32"/>
        </w:rPr>
        <w:t>。</w:t>
      </w:r>
    </w:p>
    <w:p w14:paraId="63DCA04C">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sz w:val="32"/>
          <w:szCs w:val="32"/>
        </w:rPr>
      </w:pPr>
      <w:r>
        <w:rPr>
          <w:rFonts w:hint="eastAsia" w:ascii="Times New Roman" w:hAnsi="Times New Roman" w:eastAsia="方正楷体_GBK"/>
          <w:b/>
          <w:sz w:val="32"/>
          <w:szCs w:val="32"/>
        </w:rPr>
        <w:t>（一）收入预算情况</w:t>
      </w:r>
    </w:p>
    <w:p w14:paraId="48AEF80C">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ascii="Times New Roman" w:hAnsi="Times New Roman" w:eastAsia="方正仿宋_GBK"/>
          <w:color w:val="auto"/>
          <w:sz w:val="32"/>
          <w:szCs w:val="32"/>
        </w:rPr>
        <w:t>收入预算</w:t>
      </w:r>
      <w:r>
        <w:rPr>
          <w:rFonts w:hint="eastAsia" w:eastAsia="方正仿宋_GBK"/>
          <w:color w:val="auto"/>
          <w:sz w:val="32"/>
          <w:szCs w:val="32"/>
          <w:u w:val="none"/>
          <w:lang w:val="en-US" w:eastAsia="zh-CN"/>
        </w:rPr>
        <w:t>1,533.37</w:t>
      </w:r>
      <w:r>
        <w:rPr>
          <w:rFonts w:ascii="Times New Roman" w:hAnsi="Times New Roman" w:eastAsia="方正仿宋_GBK"/>
          <w:color w:val="auto"/>
          <w:sz w:val="32"/>
          <w:szCs w:val="32"/>
        </w:rPr>
        <w:t>万元，其中：</w:t>
      </w:r>
      <w:r>
        <w:rPr>
          <w:rFonts w:hint="eastAsia" w:ascii="Times New Roman" w:hAnsi="Times New Roman" w:eastAsia="方正仿宋_GBK"/>
          <w:color w:val="auto"/>
          <w:sz w:val="32"/>
          <w:szCs w:val="32"/>
        </w:rPr>
        <w:t>一般公共预算</w:t>
      </w:r>
      <w:r>
        <w:rPr>
          <w:rFonts w:ascii="Times New Roman" w:hAnsi="Times New Roman" w:eastAsia="方正仿宋_GBK"/>
          <w:color w:val="auto"/>
          <w:sz w:val="32"/>
          <w:szCs w:val="32"/>
        </w:rPr>
        <w:t>拨款收入</w:t>
      </w:r>
      <w:r>
        <w:rPr>
          <w:rFonts w:hint="eastAsia" w:ascii="Times New Roman" w:hAnsi="Times New Roman" w:eastAsia="方正仿宋_GBK"/>
          <w:color w:val="auto"/>
          <w:sz w:val="32"/>
          <w:szCs w:val="32"/>
        </w:rPr>
        <w:t>1,50</w:t>
      </w:r>
      <w:r>
        <w:rPr>
          <w:rFonts w:hint="eastAsia" w:eastAsia="方正仿宋_GBK"/>
          <w:color w:val="auto"/>
          <w:sz w:val="32"/>
          <w:szCs w:val="32"/>
          <w:lang w:val="en-US" w:eastAsia="zh-CN"/>
        </w:rPr>
        <w:t>8.3</w:t>
      </w:r>
      <w:r>
        <w:rPr>
          <w:rFonts w:hint="eastAsia" w:ascii="Times New Roman" w:hAnsi="Times New Roman" w:eastAsia="方正仿宋_GBK"/>
          <w:color w:val="auto"/>
          <w:sz w:val="32"/>
          <w:szCs w:val="32"/>
        </w:rPr>
        <w:t>7</w:t>
      </w:r>
      <w:r>
        <w:rPr>
          <w:rFonts w:ascii="Times New Roman" w:hAnsi="Times New Roman" w:eastAsia="方正仿宋_GBK"/>
          <w:color w:val="auto"/>
          <w:sz w:val="32"/>
          <w:szCs w:val="32"/>
        </w:rPr>
        <w:t>万元</w:t>
      </w:r>
      <w:r>
        <w:rPr>
          <w:rFonts w:hint="eastAsia" w:ascii="Times New Roman" w:hAnsi="Times New Roman" w:eastAsia="方正仿宋_GBK"/>
          <w:color w:val="auto"/>
          <w:sz w:val="32"/>
          <w:szCs w:val="32"/>
        </w:rPr>
        <w:t>，占</w:t>
      </w:r>
      <w:r>
        <w:rPr>
          <w:rFonts w:hint="eastAsia" w:eastAsia="方正仿宋_GBK"/>
          <w:color w:val="auto"/>
          <w:sz w:val="32"/>
          <w:szCs w:val="32"/>
          <w:lang w:val="en-US" w:eastAsia="zh-CN"/>
        </w:rPr>
        <w:t>98.37</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w:t>
      </w:r>
      <w:r>
        <w:rPr>
          <w:rFonts w:hint="eastAsia" w:eastAsia="方正仿宋_GBK"/>
          <w:color w:val="auto"/>
          <w:sz w:val="32"/>
          <w:szCs w:val="32"/>
          <w:lang w:val="en-US" w:eastAsia="zh-CN"/>
        </w:rPr>
        <w:t>其他</w:t>
      </w:r>
      <w:r>
        <w:rPr>
          <w:rFonts w:hint="eastAsia" w:ascii="Times New Roman" w:hAnsi="Times New Roman" w:eastAsia="方正仿宋_GBK"/>
          <w:color w:val="auto"/>
          <w:sz w:val="32"/>
          <w:szCs w:val="32"/>
        </w:rPr>
        <w:t>收入</w:t>
      </w:r>
      <w:r>
        <w:rPr>
          <w:rFonts w:hint="eastAsia" w:eastAsia="方正仿宋_GBK"/>
          <w:color w:val="auto"/>
          <w:sz w:val="32"/>
          <w:szCs w:val="32"/>
          <w:lang w:val="en-US" w:eastAsia="zh-CN"/>
        </w:rPr>
        <w:t>25</w:t>
      </w:r>
      <w:r>
        <w:rPr>
          <w:rFonts w:ascii="Times New Roman" w:hAnsi="Times New Roman" w:eastAsia="方正仿宋_GBK"/>
          <w:color w:val="auto"/>
          <w:sz w:val="32"/>
          <w:szCs w:val="32"/>
        </w:rPr>
        <w:t>万元</w:t>
      </w:r>
      <w:r>
        <w:rPr>
          <w:rFonts w:hint="eastAsia" w:ascii="Times New Roman" w:hAnsi="Times New Roman" w:eastAsia="方正仿宋_GBK"/>
          <w:color w:val="auto"/>
          <w:sz w:val="32"/>
          <w:szCs w:val="32"/>
        </w:rPr>
        <w:t>，占</w:t>
      </w:r>
      <w:r>
        <w:rPr>
          <w:rFonts w:hint="eastAsia" w:eastAsia="方正仿宋_GBK"/>
          <w:color w:val="auto"/>
          <w:sz w:val="32"/>
          <w:szCs w:val="32"/>
          <w:lang w:val="en-US" w:eastAsia="zh-CN"/>
        </w:rPr>
        <w:t>1.63</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w:t>
      </w:r>
    </w:p>
    <w:p w14:paraId="792E4E74">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sz w:val="32"/>
          <w:szCs w:val="32"/>
        </w:rPr>
      </w:pPr>
      <w:r>
        <w:rPr>
          <w:rFonts w:hint="eastAsia" w:ascii="Times New Roman" w:hAnsi="Times New Roman" w:eastAsia="方正楷体_GBK"/>
          <w:b/>
          <w:sz w:val="32"/>
          <w:szCs w:val="32"/>
        </w:rPr>
        <w:t>（二）支出预算情况</w:t>
      </w:r>
    </w:p>
    <w:p w14:paraId="44217A6E">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ascii="Times New Roman" w:hAnsi="Times New Roman" w:eastAsia="方正仿宋_GBK"/>
          <w:color w:val="auto"/>
          <w:sz w:val="32"/>
          <w:szCs w:val="32"/>
        </w:rPr>
        <w:t>支出预算</w:t>
      </w:r>
      <w:r>
        <w:rPr>
          <w:rFonts w:hint="eastAsia" w:eastAsia="方正仿宋_GBK"/>
          <w:color w:val="auto"/>
          <w:sz w:val="32"/>
          <w:szCs w:val="32"/>
          <w:u w:val="none"/>
          <w:lang w:val="en-US" w:eastAsia="zh-CN"/>
        </w:rPr>
        <w:t>1,533.37</w:t>
      </w:r>
      <w:r>
        <w:rPr>
          <w:rFonts w:ascii="Times New Roman" w:hAnsi="Times New Roman" w:eastAsia="方正仿宋_GBK"/>
          <w:color w:val="auto"/>
          <w:sz w:val="32"/>
          <w:szCs w:val="32"/>
        </w:rPr>
        <w:t>万元，其中</w:t>
      </w:r>
      <w:r>
        <w:rPr>
          <w:rFonts w:hint="eastAsia" w:ascii="Times New Roman" w:hAnsi="Times New Roman" w:eastAsia="方正仿宋_GBK"/>
          <w:color w:val="auto"/>
          <w:sz w:val="32"/>
          <w:szCs w:val="32"/>
        </w:rPr>
        <w:t>：基本支出</w:t>
      </w:r>
      <w:r>
        <w:rPr>
          <w:rFonts w:hint="eastAsia" w:eastAsia="方正仿宋_GBK"/>
          <w:color w:val="auto"/>
          <w:sz w:val="32"/>
          <w:szCs w:val="32"/>
          <w:lang w:val="en-US" w:eastAsia="zh-CN"/>
        </w:rPr>
        <w:t>534.51</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34.86</w:t>
      </w:r>
      <w:r>
        <w:rPr>
          <w:rFonts w:hint="eastAsia" w:ascii="Times New Roman" w:hAnsi="Times New Roman" w:eastAsia="方正仿宋_GBK"/>
          <w:color w:val="auto"/>
          <w:sz w:val="32"/>
          <w:szCs w:val="32"/>
        </w:rPr>
        <w:t>%；项目支出</w:t>
      </w:r>
      <w:r>
        <w:rPr>
          <w:rFonts w:hint="eastAsia" w:eastAsia="方正仿宋_GBK"/>
          <w:color w:val="auto"/>
          <w:sz w:val="32"/>
          <w:szCs w:val="32"/>
          <w:lang w:val="en-US" w:eastAsia="zh-CN"/>
        </w:rPr>
        <w:t>998.86</w:t>
      </w:r>
      <w:r>
        <w:rPr>
          <w:rFonts w:hint="eastAsia" w:ascii="Times New Roman" w:hAnsi="Times New Roman" w:eastAsia="仿宋_GB2312"/>
          <w:color w:val="auto"/>
          <w:sz w:val="28"/>
          <w:szCs w:val="28"/>
        </w:rPr>
        <w:t>万元</w:t>
      </w:r>
      <w:r>
        <w:rPr>
          <w:rFonts w:hint="eastAsia" w:ascii="Times New Roman" w:hAnsi="Times New Roman" w:eastAsia="方正仿宋_GBK"/>
          <w:color w:val="auto"/>
          <w:sz w:val="32"/>
          <w:szCs w:val="32"/>
        </w:rPr>
        <w:t>，占</w:t>
      </w:r>
      <w:r>
        <w:rPr>
          <w:rFonts w:hint="eastAsia" w:eastAsia="方正仿宋_GBK"/>
          <w:color w:val="auto"/>
          <w:sz w:val="32"/>
          <w:szCs w:val="32"/>
          <w:lang w:val="en-US" w:eastAsia="zh-CN"/>
        </w:rPr>
        <w:t>65.14</w:t>
      </w:r>
      <w:r>
        <w:rPr>
          <w:rFonts w:hint="eastAsia" w:ascii="Times New Roman" w:hAnsi="Times New Roman" w:eastAsia="方正仿宋_GBK"/>
          <w:color w:val="auto"/>
          <w:sz w:val="32"/>
          <w:szCs w:val="32"/>
        </w:rPr>
        <w:t>%。</w:t>
      </w:r>
    </w:p>
    <w:p w14:paraId="0EDDF649">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四、财政拨款收支预算情况说明</w:t>
      </w:r>
    </w:p>
    <w:p w14:paraId="0A2ED1D5">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财政拨款收支总预算</w:t>
      </w:r>
      <w:r>
        <w:rPr>
          <w:rFonts w:hint="eastAsia" w:eastAsia="方正仿宋_GBK"/>
          <w:color w:val="auto"/>
          <w:sz w:val="32"/>
          <w:szCs w:val="32"/>
          <w:lang w:val="en-US" w:eastAsia="zh-CN"/>
        </w:rPr>
        <w:t>1508.37</w:t>
      </w:r>
      <w:r>
        <w:rPr>
          <w:rFonts w:hint="eastAsia" w:ascii="Times New Roman" w:hAnsi="Times New Roman" w:eastAsia="方正仿宋_GBK"/>
          <w:color w:val="auto"/>
          <w:sz w:val="32"/>
          <w:szCs w:val="32"/>
        </w:rPr>
        <w:t>万元，比</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ascii="Times New Roman" w:hAnsi="Times New Roman" w:eastAsia="方正仿宋_GBK"/>
          <w:color w:val="auto"/>
          <w:sz w:val="32"/>
          <w:szCs w:val="32"/>
        </w:rPr>
        <w:t>财政拨款收支总预算增加</w:t>
      </w:r>
      <w:r>
        <w:rPr>
          <w:rFonts w:hint="eastAsia" w:eastAsia="方正仿宋_GBK"/>
          <w:color w:val="auto"/>
          <w:sz w:val="32"/>
          <w:szCs w:val="32"/>
          <w:lang w:val="en-US" w:eastAsia="zh-CN"/>
        </w:rPr>
        <w:t>722.65</w:t>
      </w:r>
      <w:r>
        <w:rPr>
          <w:rFonts w:hint="eastAsia" w:ascii="Times New Roman" w:hAnsi="Times New Roman" w:eastAsia="方正仿宋_GBK"/>
          <w:color w:val="auto"/>
          <w:sz w:val="32"/>
          <w:szCs w:val="32"/>
        </w:rPr>
        <w:t>万元，主要原因是</w:t>
      </w:r>
      <w:r>
        <w:rPr>
          <w:rFonts w:hint="eastAsia" w:eastAsia="方正仿宋_GBK"/>
          <w:color w:val="auto"/>
          <w:sz w:val="32"/>
          <w:szCs w:val="32"/>
          <w:lang w:val="en-US" w:eastAsia="zh-CN"/>
        </w:rPr>
        <w:t>新增一次性项目2026年换届选举经费</w:t>
      </w:r>
      <w:r>
        <w:rPr>
          <w:rFonts w:hint="eastAsia" w:ascii="Times New Roman" w:hAnsi="Times New Roman" w:eastAsia="方正仿宋_GBK"/>
          <w:color w:val="auto"/>
          <w:sz w:val="32"/>
          <w:szCs w:val="32"/>
        </w:rPr>
        <w:t>。</w:t>
      </w:r>
    </w:p>
    <w:p w14:paraId="16912C4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收入包括：本年一般公共预算拨款收入</w:t>
      </w:r>
      <w:r>
        <w:rPr>
          <w:rFonts w:hint="eastAsia" w:eastAsia="方正仿宋_GBK"/>
          <w:color w:val="auto"/>
          <w:sz w:val="32"/>
          <w:szCs w:val="32"/>
          <w:lang w:val="en-US" w:eastAsia="zh-CN"/>
        </w:rPr>
        <w:t>1501.97</w:t>
      </w:r>
      <w:r>
        <w:rPr>
          <w:rFonts w:hint="eastAsia" w:ascii="Times New Roman" w:hAnsi="Times New Roman" w:eastAsia="方正仿宋_GBK"/>
          <w:color w:val="auto"/>
          <w:sz w:val="32"/>
          <w:szCs w:val="32"/>
        </w:rPr>
        <w:t>万元、上年结转一般公共预算拨款收入</w:t>
      </w:r>
      <w:r>
        <w:rPr>
          <w:rFonts w:hint="eastAsia" w:eastAsia="方正仿宋_GBK"/>
          <w:color w:val="auto"/>
          <w:sz w:val="32"/>
          <w:szCs w:val="32"/>
          <w:lang w:val="en-US" w:eastAsia="zh-CN"/>
        </w:rPr>
        <w:t>6.4</w:t>
      </w:r>
      <w:r>
        <w:rPr>
          <w:rFonts w:hint="eastAsia" w:ascii="Times New Roman" w:hAnsi="Times New Roman" w:eastAsia="方正仿宋_GBK"/>
          <w:color w:val="auto"/>
          <w:sz w:val="32"/>
          <w:szCs w:val="32"/>
        </w:rPr>
        <w:t>万元；支出包括：一般公共服务支出</w:t>
      </w:r>
      <w:r>
        <w:rPr>
          <w:rFonts w:hint="eastAsia" w:eastAsia="方正仿宋_GBK"/>
          <w:color w:val="auto"/>
          <w:sz w:val="32"/>
          <w:szCs w:val="32"/>
          <w:lang w:val="en-US" w:eastAsia="zh-CN"/>
        </w:rPr>
        <w:t>1364.42</w:t>
      </w:r>
      <w:r>
        <w:rPr>
          <w:rFonts w:hint="eastAsia" w:ascii="Times New Roman" w:hAnsi="Times New Roman" w:eastAsia="方正仿宋_GBK"/>
          <w:color w:val="auto"/>
          <w:sz w:val="32"/>
          <w:szCs w:val="32"/>
        </w:rPr>
        <w:t>万元、社会保障和就业支出</w:t>
      </w:r>
      <w:r>
        <w:rPr>
          <w:rFonts w:hint="eastAsia" w:eastAsia="方正仿宋_GBK"/>
          <w:color w:val="auto"/>
          <w:sz w:val="32"/>
          <w:szCs w:val="32"/>
          <w:lang w:val="en-US" w:eastAsia="zh-CN"/>
        </w:rPr>
        <w:t>83.95</w:t>
      </w:r>
      <w:r>
        <w:rPr>
          <w:rFonts w:hint="eastAsia" w:ascii="Times New Roman" w:hAnsi="Times New Roman" w:eastAsia="方正仿宋_GBK"/>
          <w:color w:val="auto"/>
          <w:sz w:val="32"/>
          <w:szCs w:val="32"/>
        </w:rPr>
        <w:t>万元、卫生健康支出</w:t>
      </w:r>
      <w:r>
        <w:rPr>
          <w:rFonts w:hint="eastAsia" w:eastAsia="方正仿宋_GBK"/>
          <w:color w:val="auto"/>
          <w:sz w:val="32"/>
          <w:szCs w:val="32"/>
          <w:lang w:val="en-US" w:eastAsia="zh-CN"/>
        </w:rPr>
        <w:t>23.39</w:t>
      </w:r>
      <w:r>
        <w:rPr>
          <w:rFonts w:hint="eastAsia" w:ascii="Times New Roman" w:hAnsi="Times New Roman" w:eastAsia="方正仿宋_GBK"/>
          <w:color w:val="auto"/>
          <w:sz w:val="32"/>
          <w:szCs w:val="32"/>
        </w:rPr>
        <w:t>万元、住房保障支出</w:t>
      </w:r>
      <w:r>
        <w:rPr>
          <w:rFonts w:hint="eastAsia" w:eastAsia="方正仿宋_GBK"/>
          <w:color w:val="auto"/>
          <w:sz w:val="32"/>
          <w:szCs w:val="32"/>
          <w:lang w:val="en-US" w:eastAsia="zh-CN"/>
        </w:rPr>
        <w:t>36.61</w:t>
      </w:r>
      <w:r>
        <w:rPr>
          <w:rFonts w:hint="eastAsia" w:ascii="Times New Roman" w:hAnsi="Times New Roman" w:eastAsia="方正仿宋_GBK"/>
          <w:color w:val="auto"/>
          <w:sz w:val="32"/>
          <w:szCs w:val="32"/>
        </w:rPr>
        <w:t>万元。</w:t>
      </w:r>
    </w:p>
    <w:p w14:paraId="60A322BC">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五、一般公共预算当年拨款情况说明</w:t>
      </w:r>
    </w:p>
    <w:p w14:paraId="21547AC0">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sz w:val="32"/>
          <w:szCs w:val="32"/>
        </w:rPr>
      </w:pPr>
      <w:r>
        <w:rPr>
          <w:rFonts w:hint="eastAsia" w:ascii="Times New Roman" w:hAnsi="Times New Roman" w:eastAsia="方正楷体_GBK"/>
          <w:b/>
          <w:sz w:val="32"/>
          <w:szCs w:val="32"/>
        </w:rPr>
        <w:t>（一）一般公共预算当年拨款规模变化情况</w:t>
      </w:r>
    </w:p>
    <w:p w14:paraId="78624D48">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一般公共预算当年拨款</w:t>
      </w:r>
      <w:r>
        <w:rPr>
          <w:rFonts w:hint="eastAsia" w:eastAsia="方正仿宋_GBK"/>
          <w:color w:val="auto"/>
          <w:sz w:val="32"/>
          <w:szCs w:val="32"/>
          <w:lang w:val="en-US" w:eastAsia="zh-CN"/>
        </w:rPr>
        <w:t>1501.97</w:t>
      </w:r>
      <w:r>
        <w:rPr>
          <w:rFonts w:hint="eastAsia" w:ascii="Times New Roman" w:hAnsi="Times New Roman" w:eastAsia="方正仿宋_GBK"/>
          <w:color w:val="auto"/>
          <w:sz w:val="32"/>
          <w:szCs w:val="32"/>
        </w:rPr>
        <w:t>万元，比</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ascii="Times New Roman" w:hAnsi="Times New Roman" w:eastAsia="方正仿宋_GBK"/>
          <w:color w:val="auto"/>
          <w:sz w:val="32"/>
          <w:szCs w:val="32"/>
        </w:rPr>
        <w:t>预算数增加</w:t>
      </w:r>
      <w:r>
        <w:rPr>
          <w:rFonts w:hint="eastAsia" w:eastAsia="方正仿宋_GBK"/>
          <w:color w:val="auto"/>
          <w:sz w:val="32"/>
          <w:szCs w:val="32"/>
          <w:lang w:val="en-US" w:eastAsia="zh-CN"/>
        </w:rPr>
        <w:t>719.95</w:t>
      </w:r>
      <w:r>
        <w:rPr>
          <w:rFonts w:hint="eastAsia" w:ascii="Times New Roman" w:hAnsi="Times New Roman" w:eastAsia="方正仿宋_GBK"/>
          <w:color w:val="auto"/>
          <w:sz w:val="32"/>
          <w:szCs w:val="32"/>
        </w:rPr>
        <w:t>万元。主要原因是</w:t>
      </w:r>
      <w:r>
        <w:rPr>
          <w:rFonts w:hint="eastAsia" w:eastAsia="方正仿宋_GBK"/>
          <w:color w:val="auto"/>
          <w:sz w:val="32"/>
          <w:szCs w:val="32"/>
          <w:lang w:val="en-US" w:eastAsia="zh-CN"/>
        </w:rPr>
        <w:t>新增一次性项目2026年换届选举经费</w:t>
      </w:r>
      <w:r>
        <w:rPr>
          <w:rFonts w:hint="eastAsia" w:ascii="Times New Roman" w:hAnsi="Times New Roman" w:eastAsia="方正仿宋_GBK"/>
          <w:color w:val="auto"/>
          <w:sz w:val="32"/>
          <w:szCs w:val="32"/>
        </w:rPr>
        <w:t>。</w:t>
      </w:r>
    </w:p>
    <w:p w14:paraId="1B98FBF7">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仿宋_GB2312"/>
          <w:color w:val="333333"/>
          <w:sz w:val="28"/>
          <w:szCs w:val="28"/>
        </w:rPr>
      </w:pPr>
      <w:r>
        <w:rPr>
          <w:rFonts w:hint="eastAsia" w:ascii="Times New Roman" w:hAnsi="Times New Roman" w:eastAsia="方正楷体_GBK"/>
          <w:b/>
          <w:sz w:val="32"/>
          <w:szCs w:val="32"/>
        </w:rPr>
        <w:t>（二）一般公共预算当年拨款结构情况</w:t>
      </w:r>
    </w:p>
    <w:p w14:paraId="593B2CE6">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一般公共服务支出</w:t>
      </w:r>
      <w:r>
        <w:rPr>
          <w:rFonts w:hint="eastAsia" w:eastAsia="方正仿宋_GBK"/>
          <w:color w:val="auto"/>
          <w:sz w:val="32"/>
          <w:szCs w:val="32"/>
          <w:lang w:val="en-US" w:eastAsia="zh-CN"/>
        </w:rPr>
        <w:t>1358.02</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90.41</w:t>
      </w:r>
      <w:r>
        <w:rPr>
          <w:rFonts w:hint="eastAsia" w:ascii="Times New Roman" w:hAnsi="Times New Roman" w:eastAsia="方正仿宋_GBK"/>
          <w:color w:val="auto"/>
          <w:sz w:val="32"/>
          <w:szCs w:val="32"/>
        </w:rPr>
        <w:t>%；社会保障和就业支出</w:t>
      </w:r>
      <w:r>
        <w:rPr>
          <w:rFonts w:hint="eastAsia" w:eastAsia="方正仿宋_GBK"/>
          <w:color w:val="auto"/>
          <w:sz w:val="32"/>
          <w:szCs w:val="32"/>
          <w:lang w:val="en-US" w:eastAsia="zh-CN"/>
        </w:rPr>
        <w:t>83.95</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5.59</w:t>
      </w:r>
      <w:r>
        <w:rPr>
          <w:rFonts w:hint="eastAsia" w:ascii="Times New Roman" w:hAnsi="Times New Roman" w:eastAsia="方正仿宋_GBK"/>
          <w:color w:val="auto"/>
          <w:sz w:val="32"/>
          <w:szCs w:val="32"/>
        </w:rPr>
        <w:t>%；医疗卫生与计划生育支出</w:t>
      </w:r>
      <w:r>
        <w:rPr>
          <w:rFonts w:hint="eastAsia" w:eastAsia="方正仿宋_GBK"/>
          <w:color w:val="auto"/>
          <w:sz w:val="32"/>
          <w:szCs w:val="32"/>
          <w:lang w:val="en-US" w:eastAsia="zh-CN"/>
        </w:rPr>
        <w:t>23.39</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1.56</w:t>
      </w:r>
      <w:r>
        <w:rPr>
          <w:rFonts w:hint="eastAsia" w:ascii="Times New Roman" w:hAnsi="Times New Roman" w:eastAsia="方正仿宋_GBK"/>
          <w:color w:val="auto"/>
          <w:sz w:val="32"/>
          <w:szCs w:val="32"/>
        </w:rPr>
        <w:t>%；住房保障支出</w:t>
      </w:r>
      <w:r>
        <w:rPr>
          <w:rFonts w:hint="eastAsia" w:eastAsia="方正仿宋_GBK"/>
          <w:color w:val="auto"/>
          <w:sz w:val="32"/>
          <w:szCs w:val="32"/>
          <w:lang w:val="en-US" w:eastAsia="zh-CN"/>
        </w:rPr>
        <w:t>36.61</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2.44</w:t>
      </w:r>
      <w:r>
        <w:rPr>
          <w:rFonts w:hint="eastAsia" w:ascii="Times New Roman" w:hAnsi="Times New Roman" w:eastAsia="方正仿宋_GBK"/>
          <w:color w:val="auto"/>
          <w:sz w:val="32"/>
          <w:szCs w:val="32"/>
        </w:rPr>
        <w:t>%。</w:t>
      </w:r>
    </w:p>
    <w:p w14:paraId="35A7E82A">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（三）一般公共预算当年拨款具体使用情况</w:t>
      </w:r>
    </w:p>
    <w:p w14:paraId="5BE8135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 一般公共服务（类）人大事务（款）行政运行（项）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年预算数为3</w:t>
      </w:r>
      <w:r>
        <w:rPr>
          <w:rFonts w:hint="eastAsia" w:eastAsia="方正仿宋_GBK"/>
          <w:color w:val="auto"/>
          <w:sz w:val="32"/>
          <w:szCs w:val="32"/>
          <w:lang w:val="en-US" w:eastAsia="zh-CN"/>
        </w:rPr>
        <w:t>48.65</w:t>
      </w:r>
      <w:r>
        <w:rPr>
          <w:rFonts w:hint="eastAsia" w:ascii="Times New Roman" w:hAnsi="Times New Roman" w:eastAsia="方正仿宋_GBK"/>
          <w:color w:val="auto"/>
          <w:sz w:val="32"/>
          <w:szCs w:val="32"/>
        </w:rPr>
        <w:t>万元，主要用于：安岳县人大常委会办公室机构行政人员工资、日常运转等经费支出。</w:t>
      </w:r>
    </w:p>
    <w:p w14:paraId="494890BA">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 一般公共服务（类）人大事务（款）一般行政管理事务（项）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60.4</w:t>
      </w:r>
      <w:r>
        <w:rPr>
          <w:rFonts w:hint="eastAsia" w:ascii="Times New Roman" w:hAnsi="Times New Roman" w:eastAsia="方正仿宋_GBK"/>
          <w:color w:val="auto"/>
          <w:sz w:val="32"/>
          <w:szCs w:val="32"/>
        </w:rPr>
        <w:t>万元，主要用于：完成监督工作、代表工作、重大事项决定和选举任免等专项业务工作的经费支出。</w:t>
      </w:r>
    </w:p>
    <w:p w14:paraId="65C2A4E8">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3.一般公共服务（类）人大事务（款）事业运行（项）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年预算数为10.</w:t>
      </w:r>
      <w:r>
        <w:rPr>
          <w:rFonts w:hint="eastAsia" w:eastAsia="方正仿宋_GBK"/>
          <w:color w:val="auto"/>
          <w:sz w:val="32"/>
          <w:szCs w:val="32"/>
          <w:lang w:val="en-US" w:eastAsia="zh-CN"/>
        </w:rPr>
        <w:t>5</w:t>
      </w:r>
      <w:r>
        <w:rPr>
          <w:rFonts w:hint="eastAsia" w:ascii="Times New Roman" w:hAnsi="Times New Roman" w:eastAsia="方正仿宋_GBK"/>
          <w:color w:val="auto"/>
          <w:sz w:val="32"/>
          <w:szCs w:val="32"/>
        </w:rPr>
        <w:t xml:space="preserve">万元，主要用于：安岳县人大常委会办公室机构行政工勤人员经费支出。 </w:t>
      </w:r>
    </w:p>
    <w:p w14:paraId="63E6674B">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4.一般公共服务（类）人大事务（款） 人大会议（项）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842.8</w:t>
      </w:r>
      <w:r>
        <w:rPr>
          <w:rFonts w:hint="eastAsia" w:ascii="Times New Roman" w:hAnsi="Times New Roman" w:eastAsia="方正仿宋_GBK"/>
          <w:color w:val="auto"/>
          <w:sz w:val="32"/>
          <w:szCs w:val="32"/>
        </w:rPr>
        <w:t>万元，主要用于：召开安岳县人民代表大会等专门会议的经费支出。</w:t>
      </w:r>
    </w:p>
    <w:p w14:paraId="7C12E08A">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5.一般公共服务（类）人大事务（款） 人大监督（项）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44.8</w:t>
      </w:r>
      <w:r>
        <w:rPr>
          <w:rFonts w:hint="eastAsia" w:ascii="Times New Roman" w:hAnsi="Times New Roman" w:eastAsia="方正仿宋_GBK"/>
          <w:color w:val="auto"/>
          <w:sz w:val="32"/>
          <w:szCs w:val="32"/>
        </w:rPr>
        <w:t>万元，主要用于：开展监督工作的经费支出。</w:t>
      </w:r>
    </w:p>
    <w:p w14:paraId="78B43C7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6.  一般公共服务（类）人大事务（款） 代表工作（项）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50</w:t>
      </w:r>
      <w:r>
        <w:rPr>
          <w:rFonts w:hint="eastAsia" w:ascii="Times New Roman" w:hAnsi="Times New Roman" w:eastAsia="方正仿宋_GBK"/>
          <w:color w:val="auto"/>
          <w:sz w:val="32"/>
          <w:szCs w:val="32"/>
        </w:rPr>
        <w:t>.86万元，主要用于：开展各类视察</w:t>
      </w:r>
      <w:r>
        <w:rPr>
          <w:rFonts w:hint="eastAsia" w:eastAsia="方正仿宋_GBK"/>
          <w:color w:val="auto"/>
          <w:sz w:val="32"/>
          <w:szCs w:val="32"/>
          <w:lang w:eastAsia="zh-CN"/>
        </w:rPr>
        <w:t>、</w:t>
      </w:r>
      <w:r>
        <w:rPr>
          <w:rFonts w:hint="eastAsia" w:eastAsia="方正仿宋_GBK"/>
          <w:color w:val="auto"/>
          <w:sz w:val="32"/>
          <w:szCs w:val="32"/>
          <w:lang w:val="en-US" w:eastAsia="zh-CN"/>
        </w:rPr>
        <w:t>代表联络会议、慰问困难代表等</w:t>
      </w:r>
      <w:r>
        <w:rPr>
          <w:rFonts w:hint="eastAsia" w:ascii="Times New Roman" w:hAnsi="Times New Roman" w:eastAsia="方正仿宋_GBK"/>
          <w:color w:val="auto"/>
          <w:sz w:val="32"/>
          <w:szCs w:val="32"/>
        </w:rPr>
        <w:t>的经费支出。</w:t>
      </w:r>
    </w:p>
    <w:p w14:paraId="7AE3244B">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7.社会保障和就业（类）行政事业单位养老支出（款）机关事业单位基本养老保险缴费支出（项）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年预算数为4</w:t>
      </w:r>
      <w:r>
        <w:rPr>
          <w:rFonts w:hint="eastAsia" w:eastAsia="方正仿宋_GBK"/>
          <w:color w:val="auto"/>
          <w:sz w:val="32"/>
          <w:szCs w:val="32"/>
          <w:lang w:val="en-US" w:eastAsia="zh-CN"/>
        </w:rPr>
        <w:t>4.34</w:t>
      </w:r>
      <w:r>
        <w:rPr>
          <w:rFonts w:hint="eastAsia" w:ascii="Times New Roman" w:hAnsi="Times New Roman" w:eastAsia="方正仿宋_GBK"/>
          <w:color w:val="auto"/>
          <w:sz w:val="32"/>
          <w:szCs w:val="32"/>
        </w:rPr>
        <w:t>万元，用于单位缴纳的基本养老保险支出。</w:t>
      </w:r>
    </w:p>
    <w:p w14:paraId="20310FA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6. 卫生健康支出（类）行政事业单位医疗（款）行政单位医疗（项）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20.78</w:t>
      </w:r>
      <w:r>
        <w:rPr>
          <w:rFonts w:hint="eastAsia" w:ascii="Times New Roman" w:hAnsi="Times New Roman" w:eastAsia="方正仿宋_GBK"/>
          <w:color w:val="auto"/>
          <w:sz w:val="32"/>
          <w:szCs w:val="32"/>
        </w:rPr>
        <w:t>万元，用于为职工缴纳的基本医疗保险支出。</w:t>
      </w:r>
    </w:p>
    <w:p w14:paraId="782EEB70">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7. 卫生健康支出（类）行政事业单位医疗（款）公务员医疗补助（项）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年预算数为2.</w:t>
      </w:r>
      <w:r>
        <w:rPr>
          <w:rFonts w:hint="eastAsia" w:eastAsia="方正仿宋_GBK"/>
          <w:color w:val="auto"/>
          <w:sz w:val="32"/>
          <w:szCs w:val="32"/>
          <w:lang w:val="en-US" w:eastAsia="zh-CN"/>
        </w:rPr>
        <w:t>6</w:t>
      </w:r>
      <w:r>
        <w:rPr>
          <w:rFonts w:hint="eastAsia" w:ascii="Times New Roman" w:hAnsi="Times New Roman" w:eastAsia="方正仿宋_GBK"/>
          <w:color w:val="auto"/>
          <w:sz w:val="32"/>
          <w:szCs w:val="32"/>
        </w:rPr>
        <w:t>1万元，用于为职工缴纳的公务员医疗补助支出。</w:t>
      </w:r>
    </w:p>
    <w:p w14:paraId="2017062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8. 住房保障（类）住房改革支出（款）住房公积金（项）：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年预算数为3</w:t>
      </w:r>
      <w:r>
        <w:rPr>
          <w:rFonts w:hint="eastAsia" w:eastAsia="方正仿宋_GBK"/>
          <w:color w:val="auto"/>
          <w:sz w:val="32"/>
          <w:szCs w:val="32"/>
          <w:lang w:val="en-US" w:eastAsia="zh-CN"/>
        </w:rPr>
        <w:t>6.61</w:t>
      </w:r>
      <w:r>
        <w:rPr>
          <w:rFonts w:hint="eastAsia" w:ascii="Times New Roman" w:hAnsi="Times New Roman" w:eastAsia="方正仿宋_GBK"/>
          <w:color w:val="auto"/>
          <w:sz w:val="32"/>
          <w:szCs w:val="32"/>
        </w:rPr>
        <w:t xml:space="preserve">万元，主要用于：部门按人力资源和社会保障部、财政部规定的基本工资和津贴补贴以及规定比例为职工缴纳的住房公积金支出。 </w:t>
      </w:r>
    </w:p>
    <w:p w14:paraId="4C15A287">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b/>
          <w:bCs w:val="0"/>
          <w:color w:val="auto"/>
          <w:sz w:val="28"/>
          <w:szCs w:val="28"/>
          <w:u w:val="none"/>
          <w:lang w:eastAsia="zh-CN"/>
        </w:rPr>
      </w:pPr>
      <w:r>
        <w:rPr>
          <w:rFonts w:hint="eastAsia" w:ascii="Times New Roman" w:hAnsi="Times New Roman" w:eastAsia="方正仿宋_GBK"/>
          <w:color w:val="auto"/>
          <w:sz w:val="32"/>
          <w:szCs w:val="32"/>
        </w:rPr>
        <w:t>9．社会保障和就业（类）行政事业单位养老支出（款） 行政单位离退休支出（项）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年预算数为3</w:t>
      </w:r>
      <w:r>
        <w:rPr>
          <w:rFonts w:hint="eastAsia" w:eastAsia="方正仿宋_GBK"/>
          <w:color w:val="auto"/>
          <w:sz w:val="32"/>
          <w:szCs w:val="32"/>
          <w:lang w:val="en-US" w:eastAsia="zh-CN"/>
        </w:rPr>
        <w:t>9</w:t>
      </w:r>
      <w:r>
        <w:rPr>
          <w:rFonts w:hint="eastAsia" w:ascii="Times New Roman" w:hAnsi="Times New Roman" w:eastAsia="方正仿宋_GBK"/>
          <w:color w:val="auto"/>
          <w:sz w:val="32"/>
          <w:szCs w:val="32"/>
        </w:rPr>
        <w:t>.</w:t>
      </w:r>
      <w:r>
        <w:rPr>
          <w:rFonts w:hint="eastAsia" w:eastAsia="方正仿宋_GBK"/>
          <w:color w:val="auto"/>
          <w:sz w:val="32"/>
          <w:szCs w:val="32"/>
          <w:lang w:val="en-US" w:eastAsia="zh-CN"/>
        </w:rPr>
        <w:t>6</w:t>
      </w:r>
      <w:r>
        <w:rPr>
          <w:rFonts w:hint="eastAsia" w:ascii="Times New Roman" w:hAnsi="Times New Roman" w:eastAsia="方正仿宋_GBK"/>
          <w:color w:val="auto"/>
          <w:sz w:val="32"/>
          <w:szCs w:val="32"/>
        </w:rPr>
        <w:t>1万元，用于单位行政退休人员经费支出。</w:t>
      </w:r>
    </w:p>
    <w:p w14:paraId="5BF11308">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六、一般公共预算基本支出情况说明</w:t>
      </w:r>
    </w:p>
    <w:p w14:paraId="12331376">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一般公共预算基本支出</w:t>
      </w:r>
      <w:r>
        <w:rPr>
          <w:rFonts w:hint="eastAsia" w:eastAsia="方正仿宋_GBK"/>
          <w:color w:val="auto"/>
          <w:sz w:val="32"/>
          <w:szCs w:val="32"/>
          <w:lang w:val="en-US" w:eastAsia="zh-CN"/>
        </w:rPr>
        <w:t>509.51</w:t>
      </w:r>
      <w:r>
        <w:rPr>
          <w:rFonts w:hint="eastAsia" w:ascii="Times New Roman" w:hAnsi="Times New Roman" w:eastAsia="方正仿宋_GBK"/>
          <w:color w:val="auto"/>
          <w:sz w:val="32"/>
          <w:szCs w:val="32"/>
        </w:rPr>
        <w:t>万元，其中：</w:t>
      </w:r>
    </w:p>
    <w:p w14:paraId="5712EC4F">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人员经费</w:t>
      </w:r>
      <w:r>
        <w:rPr>
          <w:rFonts w:hint="eastAsia" w:eastAsia="方正仿宋_GBK"/>
          <w:color w:val="auto"/>
          <w:sz w:val="32"/>
          <w:szCs w:val="32"/>
          <w:lang w:val="en-US" w:eastAsia="zh-CN"/>
        </w:rPr>
        <w:t>431.37</w:t>
      </w:r>
      <w:r>
        <w:rPr>
          <w:rFonts w:hint="eastAsia" w:ascii="Times New Roman" w:hAnsi="Times New Roman" w:eastAsia="方正仿宋_GBK"/>
          <w:color w:val="auto"/>
          <w:sz w:val="32"/>
          <w:szCs w:val="32"/>
        </w:rPr>
        <w:t>万元，主要包括：基本工资、津贴补贴、奖金、社会保险缴费等。</w:t>
      </w:r>
    </w:p>
    <w:p w14:paraId="650D23B6">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公用经费</w:t>
      </w:r>
      <w:r>
        <w:rPr>
          <w:rFonts w:hint="eastAsia" w:eastAsia="方正仿宋_GBK"/>
          <w:color w:val="auto"/>
          <w:sz w:val="32"/>
          <w:szCs w:val="32"/>
          <w:lang w:val="en-US" w:eastAsia="zh-CN"/>
        </w:rPr>
        <w:t>78.14</w:t>
      </w:r>
      <w:r>
        <w:rPr>
          <w:rFonts w:hint="eastAsia" w:ascii="Times New Roman" w:hAnsi="Times New Roman" w:eastAsia="方正仿宋_GBK"/>
          <w:color w:val="auto"/>
          <w:sz w:val="32"/>
          <w:szCs w:val="32"/>
        </w:rPr>
        <w:t>万元，主要包括：办公费、水费、电费、邮电费、印刷费、差旅费、维修（护）费、劳务费等。</w:t>
      </w:r>
    </w:p>
    <w:p w14:paraId="5C770DDA">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七、“三公”经费财政拨款预算安排情况说明</w:t>
      </w:r>
    </w:p>
    <w:p w14:paraId="549B7D3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Times New Roman" w:hAnsi="Times New Roman" w:eastAsia="方正仿宋_GBK"/>
          <w:color w:val="auto"/>
          <w:sz w:val="32"/>
          <w:szCs w:val="32"/>
          <w:highlight w:val="none"/>
        </w:rPr>
      </w:pPr>
      <w:r>
        <w:rPr>
          <w:rFonts w:hint="eastAsia" w:eastAsia="方正仿宋_GBK"/>
          <w:szCs w:val="32"/>
          <w:lang w:val="en-US" w:eastAsia="zh-CN"/>
        </w:rPr>
        <w:t>安岳县人民代表大会常务委员会办公室</w:t>
      </w:r>
      <w:r>
        <w:rPr>
          <w:rFonts w:hint="eastAsia" w:eastAsia="方正仿宋_GBK"/>
          <w:color w:val="auto"/>
          <w:sz w:val="32"/>
          <w:szCs w:val="32"/>
          <w:highlight w:val="none"/>
          <w:lang w:eastAsia="zh-CN"/>
        </w:rPr>
        <w:t>2026年</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三公</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经费财政拨款预算数</w:t>
      </w:r>
      <w:r>
        <w:rPr>
          <w:rFonts w:hint="eastAsia" w:eastAsia="方正仿宋_GBK"/>
          <w:color w:val="auto"/>
          <w:sz w:val="32"/>
          <w:szCs w:val="32"/>
          <w:highlight w:val="none"/>
          <w:lang w:val="en-US" w:eastAsia="zh-CN"/>
        </w:rPr>
        <w:t>1.92</w:t>
      </w:r>
      <w:r>
        <w:rPr>
          <w:rFonts w:ascii="Times New Roman" w:hAnsi="Times New Roman" w:eastAsia="方正仿宋_GBK"/>
          <w:color w:val="auto"/>
          <w:sz w:val="32"/>
          <w:szCs w:val="32"/>
          <w:highlight w:val="none"/>
        </w:rPr>
        <w:t>万元，其中：因公出国（境）经费</w:t>
      </w:r>
      <w:r>
        <w:rPr>
          <w:rFonts w:hint="eastAsia" w:eastAsia="方正仿宋_GBK"/>
          <w:color w:val="auto"/>
          <w:sz w:val="32"/>
          <w:szCs w:val="32"/>
          <w:highlight w:val="none"/>
          <w:lang w:val="en-US" w:eastAsia="zh-CN"/>
        </w:rPr>
        <w:t>0</w:t>
      </w:r>
      <w:r>
        <w:rPr>
          <w:rFonts w:ascii="Times New Roman" w:hAnsi="Times New Roman" w:eastAsia="方正仿宋_GBK"/>
          <w:color w:val="auto"/>
          <w:sz w:val="32"/>
          <w:szCs w:val="32"/>
          <w:highlight w:val="none"/>
        </w:rPr>
        <w:t>万元，公务接待费</w:t>
      </w:r>
      <w:r>
        <w:rPr>
          <w:rFonts w:hint="eastAsia" w:eastAsia="方正仿宋_GBK"/>
          <w:color w:val="auto"/>
          <w:sz w:val="32"/>
          <w:szCs w:val="32"/>
          <w:highlight w:val="none"/>
          <w:lang w:val="en-US" w:eastAsia="zh-CN"/>
        </w:rPr>
        <w:t>1.92</w:t>
      </w:r>
      <w:r>
        <w:rPr>
          <w:rFonts w:ascii="Times New Roman" w:hAnsi="Times New Roman" w:eastAsia="方正仿宋_GBK"/>
          <w:color w:val="auto"/>
          <w:sz w:val="32"/>
          <w:szCs w:val="32"/>
          <w:highlight w:val="none"/>
        </w:rPr>
        <w:t>万元</w:t>
      </w:r>
      <w:r>
        <w:rPr>
          <w:rFonts w:hint="eastAsia" w:eastAsia="方正仿宋_GBK"/>
          <w:color w:val="auto"/>
          <w:sz w:val="32"/>
          <w:szCs w:val="32"/>
          <w:lang w:eastAsia="zh-CN"/>
        </w:rPr>
        <w:t>（</w:t>
      </w:r>
      <w:r>
        <w:rPr>
          <w:rFonts w:hint="eastAsia" w:eastAsia="方正仿宋_GBK"/>
          <w:color w:val="auto"/>
          <w:sz w:val="32"/>
          <w:szCs w:val="32"/>
          <w:lang w:val="en-US" w:eastAsia="zh-CN"/>
        </w:rPr>
        <w:t>其中上年结转数0.42万元</w:t>
      </w:r>
      <w:r>
        <w:rPr>
          <w:rFonts w:hint="eastAsia" w:eastAsia="方正仿宋_GBK"/>
          <w:color w:val="auto"/>
          <w:sz w:val="32"/>
          <w:szCs w:val="32"/>
          <w:lang w:eastAsia="zh-CN"/>
        </w:rPr>
        <w:t>）</w:t>
      </w:r>
      <w:r>
        <w:rPr>
          <w:rFonts w:ascii="Times New Roman" w:hAnsi="Times New Roman" w:eastAsia="方正仿宋_GBK"/>
          <w:color w:val="auto"/>
          <w:sz w:val="32"/>
          <w:szCs w:val="32"/>
          <w:highlight w:val="none"/>
        </w:rPr>
        <w:t>，公务用车购置及运行维护费</w:t>
      </w:r>
      <w:r>
        <w:rPr>
          <w:rFonts w:hint="eastAsia" w:eastAsia="方正仿宋_GBK"/>
          <w:color w:val="auto"/>
          <w:sz w:val="32"/>
          <w:szCs w:val="32"/>
          <w:highlight w:val="none"/>
          <w:lang w:val="en-US" w:eastAsia="zh-CN"/>
        </w:rPr>
        <w:t>0</w:t>
      </w:r>
      <w:r>
        <w:rPr>
          <w:rFonts w:ascii="Times New Roman" w:hAnsi="Times New Roman" w:eastAsia="方正仿宋_GBK"/>
          <w:color w:val="auto"/>
          <w:sz w:val="32"/>
          <w:szCs w:val="32"/>
          <w:highlight w:val="none"/>
        </w:rPr>
        <w:t>万元。</w:t>
      </w:r>
    </w:p>
    <w:p w14:paraId="236945E4">
      <w:pPr>
        <w:keepNext w:val="0"/>
        <w:keepLines w:val="0"/>
        <w:pageBreakBefore w:val="0"/>
        <w:widowControl w:val="0"/>
        <w:kinsoku/>
        <w:wordWrap/>
        <w:overflowPunct/>
        <w:topLinePunct w:val="0"/>
        <w:autoSpaceDE/>
        <w:autoSpaceDN/>
        <w:bidi w:val="0"/>
        <w:spacing w:line="580" w:lineRule="exact"/>
        <w:ind w:left="224" w:leftChars="70" w:firstLine="482" w:firstLineChars="150"/>
        <w:textAlignment w:val="auto"/>
        <w:rPr>
          <w:rFonts w:hint="default" w:ascii="Times New Roman" w:hAnsi="Times New Roman" w:eastAsia="方正仿宋_GBK"/>
          <w:color w:val="auto"/>
          <w:sz w:val="32"/>
          <w:szCs w:val="32"/>
          <w:highlight w:val="none"/>
          <w:lang w:val="en-US"/>
        </w:rPr>
      </w:pPr>
      <w:r>
        <w:rPr>
          <w:rFonts w:ascii="Times New Roman" w:hAnsi="Times New Roman" w:eastAsia="方正楷体_GBK"/>
          <w:b/>
          <w:color w:val="auto"/>
          <w:sz w:val="32"/>
          <w:szCs w:val="32"/>
          <w:highlight w:val="none"/>
        </w:rPr>
        <w:t>（一）因公出国（境）经费较</w:t>
      </w:r>
      <w:r>
        <w:rPr>
          <w:rFonts w:hint="eastAsia" w:eastAsia="方正楷体_GBK"/>
          <w:b/>
          <w:color w:val="auto"/>
          <w:sz w:val="32"/>
          <w:szCs w:val="32"/>
          <w:highlight w:val="none"/>
          <w:lang w:eastAsia="zh-CN"/>
        </w:rPr>
        <w:t>2026年</w:t>
      </w:r>
      <w:r>
        <w:rPr>
          <w:rFonts w:ascii="Times New Roman" w:hAnsi="Times New Roman" w:eastAsia="方正楷体_GBK"/>
          <w:b/>
          <w:color w:val="auto"/>
          <w:sz w:val="32"/>
          <w:szCs w:val="32"/>
          <w:highlight w:val="none"/>
        </w:rPr>
        <w:t>预算持平。</w:t>
      </w:r>
      <w:r>
        <w:rPr>
          <w:rFonts w:ascii="Times New Roman" w:hAnsi="Times New Roman" w:eastAsia="方正仿宋_GBK"/>
          <w:color w:val="auto"/>
          <w:sz w:val="32"/>
          <w:szCs w:val="32"/>
          <w:highlight w:val="none"/>
        </w:rPr>
        <w:t>主要原因是</w:t>
      </w:r>
      <w:r>
        <w:rPr>
          <w:rFonts w:hint="eastAsia" w:eastAsia="方正仿宋_GBK"/>
          <w:color w:val="auto"/>
          <w:sz w:val="32"/>
          <w:szCs w:val="32"/>
          <w:highlight w:val="none"/>
          <w:lang w:val="en-US" w:eastAsia="zh-CN"/>
        </w:rPr>
        <w:t>本年度未安排因公出国（境）。</w:t>
      </w:r>
    </w:p>
    <w:p w14:paraId="07ADE892">
      <w:pPr>
        <w:keepNext w:val="0"/>
        <w:keepLines w:val="0"/>
        <w:pageBreakBefore w:val="0"/>
        <w:widowControl w:val="0"/>
        <w:kinsoku/>
        <w:wordWrap/>
        <w:overflowPunct/>
        <w:topLinePunct w:val="0"/>
        <w:autoSpaceDE/>
        <w:autoSpaceDN/>
        <w:bidi w:val="0"/>
        <w:spacing w:line="580" w:lineRule="exact"/>
        <w:ind w:left="224" w:leftChars="70" w:firstLine="482" w:firstLineChars="150"/>
        <w:textAlignment w:val="auto"/>
        <w:rPr>
          <w:rFonts w:hint="eastAsia" w:ascii="Times New Roman" w:hAnsi="Times New Roman" w:eastAsia="方正仿宋_GBK"/>
          <w:color w:val="auto"/>
          <w:sz w:val="32"/>
          <w:szCs w:val="32"/>
          <w:highlight w:val="none"/>
        </w:rPr>
      </w:pPr>
      <w:r>
        <w:rPr>
          <w:rFonts w:ascii="Times New Roman" w:hAnsi="Times New Roman" w:eastAsia="方正楷体_GBK"/>
          <w:b/>
          <w:color w:val="auto"/>
          <w:sz w:val="32"/>
          <w:szCs w:val="32"/>
          <w:highlight w:val="none"/>
        </w:rPr>
        <w:t>（二）公务接待费较</w:t>
      </w:r>
      <w:r>
        <w:rPr>
          <w:rFonts w:hint="eastAsia" w:eastAsia="方正楷体_GBK"/>
          <w:b/>
          <w:color w:val="auto"/>
          <w:sz w:val="32"/>
          <w:szCs w:val="32"/>
          <w:highlight w:val="none"/>
          <w:lang w:eastAsia="zh-CN"/>
        </w:rPr>
        <w:t>2026年</w:t>
      </w:r>
      <w:r>
        <w:rPr>
          <w:rFonts w:ascii="Times New Roman" w:hAnsi="Times New Roman" w:eastAsia="方正楷体_GBK"/>
          <w:b/>
          <w:color w:val="auto"/>
          <w:sz w:val="32"/>
          <w:szCs w:val="32"/>
          <w:highlight w:val="none"/>
        </w:rPr>
        <w:t>预算下降</w:t>
      </w:r>
      <w:r>
        <w:rPr>
          <w:rFonts w:hint="eastAsia" w:eastAsia="方正楷体_GBK"/>
          <w:b/>
          <w:color w:val="auto"/>
          <w:sz w:val="32"/>
          <w:szCs w:val="32"/>
          <w:highlight w:val="none"/>
          <w:lang w:val="en-US" w:eastAsia="zh-CN"/>
        </w:rPr>
        <w:t>89.57</w:t>
      </w:r>
      <w:r>
        <w:rPr>
          <w:rFonts w:ascii="Times New Roman" w:hAnsi="Times New Roman" w:eastAsia="方正楷体_GBK"/>
          <w:b/>
          <w:color w:val="auto"/>
          <w:sz w:val="32"/>
          <w:szCs w:val="32"/>
          <w:highlight w:val="none"/>
        </w:rPr>
        <w:t>%。</w:t>
      </w:r>
      <w:r>
        <w:rPr>
          <w:rFonts w:ascii="Times New Roman" w:hAnsi="Times New Roman" w:eastAsia="方正仿宋_GBK"/>
          <w:color w:val="auto"/>
          <w:sz w:val="32"/>
          <w:szCs w:val="32"/>
          <w:highlight w:val="none"/>
        </w:rPr>
        <w:t>主要原因是</w:t>
      </w:r>
      <w:r>
        <w:rPr>
          <w:rFonts w:hint="eastAsia" w:eastAsia="方正仿宋_GBK"/>
          <w:color w:val="auto"/>
          <w:sz w:val="32"/>
          <w:szCs w:val="32"/>
          <w:highlight w:val="none"/>
          <w:lang w:val="en-US" w:eastAsia="zh-CN"/>
        </w:rPr>
        <w:t>严格落实“过紧日子”要求，厉行节约，严控公务接待费支出</w:t>
      </w:r>
      <w:r>
        <w:rPr>
          <w:rFonts w:ascii="Times New Roman" w:hAnsi="Times New Roman" w:eastAsia="方正仿宋_GBK"/>
          <w:color w:val="auto"/>
          <w:sz w:val="32"/>
          <w:szCs w:val="32"/>
          <w:highlight w:val="none"/>
        </w:rPr>
        <w:t>。</w:t>
      </w:r>
    </w:p>
    <w:p w14:paraId="7FD17516">
      <w:pPr>
        <w:keepNext w:val="0"/>
        <w:keepLines w:val="0"/>
        <w:pageBreakBefore w:val="0"/>
        <w:widowControl w:val="0"/>
        <w:kinsoku/>
        <w:wordWrap/>
        <w:overflowPunct/>
        <w:topLinePunct w:val="0"/>
        <w:autoSpaceDE/>
        <w:autoSpaceDN/>
        <w:bidi w:val="0"/>
        <w:spacing w:line="580" w:lineRule="exact"/>
        <w:ind w:left="224" w:leftChars="70" w:firstLine="800" w:firstLineChars="25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eastAsia="zh-CN"/>
        </w:rPr>
        <w:t>2026年</w:t>
      </w:r>
      <w:r>
        <w:rPr>
          <w:rFonts w:ascii="Times New Roman" w:hAnsi="Times New Roman" w:eastAsia="方正仿宋_GBK"/>
          <w:color w:val="auto"/>
          <w:sz w:val="32"/>
          <w:szCs w:val="32"/>
          <w:highlight w:val="none"/>
        </w:rPr>
        <w:t>公务接待费计划用于</w:t>
      </w:r>
      <w:r>
        <w:rPr>
          <w:rFonts w:hint="eastAsia" w:ascii="Times New Roman" w:hAnsi="Times New Roman" w:eastAsia="方正仿宋_GBK"/>
          <w:color w:val="auto"/>
          <w:sz w:val="32"/>
          <w:szCs w:val="32"/>
          <w:highlight w:val="none"/>
        </w:rPr>
        <w:t>各项业务工作接待相关费用等</w:t>
      </w:r>
      <w:r>
        <w:rPr>
          <w:rFonts w:ascii="Times New Roman" w:hAnsi="Times New Roman" w:eastAsia="方正仿宋_GBK"/>
          <w:color w:val="auto"/>
          <w:sz w:val="32"/>
          <w:szCs w:val="32"/>
          <w:highlight w:val="none"/>
        </w:rPr>
        <w:t xml:space="preserve">。 </w:t>
      </w:r>
    </w:p>
    <w:p w14:paraId="5D516D3B">
      <w:pPr>
        <w:keepNext w:val="0"/>
        <w:keepLines w:val="0"/>
        <w:pageBreakBefore w:val="0"/>
        <w:widowControl w:val="0"/>
        <w:kinsoku/>
        <w:wordWrap/>
        <w:overflowPunct/>
        <w:topLinePunct w:val="0"/>
        <w:autoSpaceDE/>
        <w:autoSpaceDN/>
        <w:bidi w:val="0"/>
        <w:adjustRightInd w:val="0"/>
        <w:snapToGrid w:val="0"/>
        <w:spacing w:before="93" w:beforeLines="30" w:line="580" w:lineRule="exact"/>
        <w:ind w:firstLine="643" w:firstLineChars="200"/>
        <w:textAlignment w:val="auto"/>
        <w:rPr>
          <w:rFonts w:ascii="Times New Roman" w:hAnsi="Times New Roman" w:eastAsia="方正楷体_GBK"/>
          <w:b/>
          <w:color w:val="auto"/>
          <w:sz w:val="32"/>
          <w:szCs w:val="32"/>
          <w:highlight w:val="none"/>
        </w:rPr>
      </w:pPr>
      <w:r>
        <w:rPr>
          <w:rFonts w:ascii="Times New Roman" w:hAnsi="Times New Roman" w:eastAsia="方正楷体_GBK"/>
          <w:b/>
          <w:color w:val="auto"/>
          <w:sz w:val="32"/>
          <w:szCs w:val="32"/>
          <w:highlight w:val="none"/>
        </w:rPr>
        <w:t>（三）</w:t>
      </w:r>
      <w:r>
        <w:rPr>
          <w:rFonts w:hint="eastAsia" w:ascii="Times New Roman" w:hAnsi="Times New Roman" w:eastAsia="方正楷体_GBK"/>
          <w:b/>
          <w:color w:val="auto"/>
          <w:sz w:val="32"/>
          <w:szCs w:val="32"/>
          <w:highlight w:val="none"/>
        </w:rPr>
        <w:t>公务用车购置及运行维护费较</w:t>
      </w:r>
      <w:r>
        <w:rPr>
          <w:rFonts w:hint="eastAsia" w:eastAsia="方正楷体_GBK"/>
          <w:b/>
          <w:color w:val="auto"/>
          <w:sz w:val="32"/>
          <w:szCs w:val="32"/>
          <w:highlight w:val="none"/>
          <w:lang w:eastAsia="zh-CN"/>
        </w:rPr>
        <w:t>2026年</w:t>
      </w:r>
      <w:r>
        <w:rPr>
          <w:rFonts w:hint="eastAsia" w:ascii="Times New Roman" w:hAnsi="Times New Roman" w:eastAsia="方正楷体_GBK"/>
          <w:b/>
          <w:color w:val="auto"/>
          <w:sz w:val="32"/>
          <w:szCs w:val="32"/>
          <w:highlight w:val="none"/>
        </w:rPr>
        <w:t>预算</w:t>
      </w:r>
      <w:r>
        <w:rPr>
          <w:rFonts w:hint="eastAsia" w:eastAsia="方正楷体_GBK"/>
          <w:b/>
          <w:color w:val="auto"/>
          <w:sz w:val="32"/>
          <w:szCs w:val="32"/>
          <w:highlight w:val="none"/>
          <w:lang w:val="en-US" w:eastAsia="zh-CN"/>
        </w:rPr>
        <w:t>持平</w:t>
      </w:r>
      <w:r>
        <w:rPr>
          <w:rFonts w:hint="eastAsia" w:ascii="Times New Roman" w:hAnsi="Times New Roman" w:eastAsia="方正楷体_GBK"/>
          <w:b/>
          <w:color w:val="auto"/>
          <w:sz w:val="32"/>
          <w:szCs w:val="32"/>
          <w:highlight w:val="none"/>
        </w:rPr>
        <w:t>。</w:t>
      </w:r>
    </w:p>
    <w:p w14:paraId="66205CD0">
      <w:pPr>
        <w:keepNext w:val="0"/>
        <w:keepLines w:val="0"/>
        <w:pageBreakBefore w:val="0"/>
        <w:widowControl w:val="0"/>
        <w:kinsoku/>
        <w:wordWrap/>
        <w:overflowPunct/>
        <w:topLinePunct w:val="0"/>
        <w:autoSpaceDE/>
        <w:autoSpaceDN/>
        <w:bidi w:val="0"/>
        <w:adjustRightInd w:val="0"/>
        <w:snapToGrid w:val="0"/>
        <w:spacing w:before="93" w:beforeLines="30" w:line="58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安岳县人民代表大会常务委员会办公室无</w:t>
      </w:r>
      <w:r>
        <w:rPr>
          <w:rFonts w:ascii="Times New Roman" w:hAnsi="Times New Roman" w:eastAsia="方正仿宋_GBK"/>
          <w:color w:val="auto"/>
          <w:sz w:val="32"/>
          <w:szCs w:val="32"/>
          <w:highlight w:val="none"/>
        </w:rPr>
        <w:t>公务用车。</w:t>
      </w:r>
      <w:r>
        <w:rPr>
          <w:rFonts w:hint="eastAsia" w:eastAsia="方正仿宋_GBK"/>
          <w:color w:val="auto"/>
          <w:sz w:val="32"/>
          <w:szCs w:val="32"/>
          <w:lang w:val="en-US" w:eastAsia="zh-CN"/>
        </w:rPr>
        <w:t>2026年未</w:t>
      </w:r>
      <w:r>
        <w:rPr>
          <w:rFonts w:hint="eastAsia" w:ascii="Times New Roman" w:hAnsi="Times New Roman" w:eastAsia="方正仿宋_GBK"/>
          <w:color w:val="auto"/>
          <w:sz w:val="32"/>
          <w:szCs w:val="32"/>
          <w:lang w:val="en-US" w:eastAsia="zh-CN"/>
        </w:rPr>
        <w:t>安排</w:t>
      </w:r>
      <w:r>
        <w:rPr>
          <w:rFonts w:ascii="Times New Roman" w:hAnsi="Times New Roman" w:eastAsia="方正仿宋_GBK"/>
          <w:color w:val="auto"/>
          <w:sz w:val="32"/>
          <w:szCs w:val="32"/>
        </w:rPr>
        <w:t>公务用车购置费。</w:t>
      </w:r>
      <w:r>
        <w:rPr>
          <w:rFonts w:hint="eastAsia" w:eastAsia="方正仿宋_GBK"/>
          <w:color w:val="auto"/>
          <w:sz w:val="32"/>
          <w:szCs w:val="32"/>
          <w:lang w:val="en-US" w:eastAsia="zh-CN"/>
        </w:rPr>
        <w:t>2026年未</w:t>
      </w:r>
      <w:r>
        <w:rPr>
          <w:rFonts w:hint="eastAsia" w:ascii="Times New Roman" w:hAnsi="Times New Roman" w:eastAsia="方正仿宋_GBK"/>
          <w:color w:val="auto"/>
          <w:sz w:val="32"/>
          <w:szCs w:val="32"/>
          <w:lang w:val="en-US" w:eastAsia="zh-CN"/>
        </w:rPr>
        <w:t>安排</w:t>
      </w:r>
      <w:r>
        <w:rPr>
          <w:rFonts w:ascii="Times New Roman" w:hAnsi="Times New Roman" w:eastAsia="方正仿宋_GBK"/>
          <w:color w:val="auto"/>
          <w:sz w:val="32"/>
          <w:szCs w:val="32"/>
        </w:rPr>
        <w:t>公务用车运行维护费。</w:t>
      </w:r>
    </w:p>
    <w:p w14:paraId="6A929DA8">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八、政府性基金预算支出情况说明</w:t>
      </w:r>
    </w:p>
    <w:p w14:paraId="151FB90D">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2025年</w:t>
      </w:r>
      <w:r>
        <w:rPr>
          <w:rFonts w:hint="eastAsia" w:ascii="Times New Roman" w:hAnsi="Times New Roman" w:eastAsia="方正仿宋_GBK"/>
          <w:color w:val="auto"/>
          <w:sz w:val="32"/>
          <w:szCs w:val="32"/>
        </w:rPr>
        <w:t>没有使用政府性基金预算拨款安排的支出。</w:t>
      </w:r>
    </w:p>
    <w:p w14:paraId="5BE9E7F9">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九、国有资本经营预算支出情况说明</w:t>
      </w:r>
    </w:p>
    <w:p w14:paraId="5FAE851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2025年</w:t>
      </w:r>
      <w:r>
        <w:rPr>
          <w:rFonts w:hint="eastAsia" w:ascii="Times New Roman" w:hAnsi="Times New Roman" w:eastAsia="方正仿宋_GBK"/>
          <w:color w:val="auto"/>
          <w:sz w:val="32"/>
          <w:szCs w:val="32"/>
        </w:rPr>
        <w:t>没有使用国有资本经营预算拨款安排的支出。</w:t>
      </w:r>
    </w:p>
    <w:p w14:paraId="0FD1025E">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十、其他重要事项的情况说明</w:t>
      </w:r>
    </w:p>
    <w:p w14:paraId="798D9483">
      <w:pPr>
        <w:keepNext w:val="0"/>
        <w:keepLines w:val="0"/>
        <w:pageBreakBefore w:val="0"/>
        <w:widowControl w:val="0"/>
        <w:kinsoku/>
        <w:wordWrap/>
        <w:overflowPunct/>
        <w:topLinePunct w:val="0"/>
        <w:autoSpaceDE/>
        <w:autoSpaceDN/>
        <w:bidi w:val="0"/>
        <w:spacing w:line="580" w:lineRule="exact"/>
        <w:ind w:firstLine="617" w:firstLineChars="192"/>
        <w:textAlignment w:val="auto"/>
        <w:rPr>
          <w:rFonts w:hint="eastAsia" w:ascii="Times New Roman" w:hAnsi="Times New Roman" w:eastAsia="方正楷体_GBK"/>
          <w:b/>
          <w:sz w:val="32"/>
          <w:szCs w:val="32"/>
          <w:highlight w:val="none"/>
        </w:rPr>
      </w:pPr>
      <w:r>
        <w:rPr>
          <w:rFonts w:hint="eastAsia" w:ascii="Times New Roman" w:hAnsi="Times New Roman" w:eastAsia="方正楷体_GBK"/>
          <w:b/>
          <w:sz w:val="32"/>
          <w:szCs w:val="32"/>
          <w:highlight w:val="none"/>
        </w:rPr>
        <w:t>（一）机关运行经费</w:t>
      </w:r>
    </w:p>
    <w:p w14:paraId="34149B77">
      <w:pPr>
        <w:keepNext w:val="0"/>
        <w:keepLines w:val="0"/>
        <w:pageBreakBefore w:val="0"/>
        <w:widowControl w:val="0"/>
        <w:kinsoku/>
        <w:wordWrap/>
        <w:overflowPunct/>
        <w:topLinePunct w:val="0"/>
        <w:autoSpaceDE/>
        <w:autoSpaceDN/>
        <w:bidi w:val="0"/>
        <w:spacing w:line="580" w:lineRule="exact"/>
        <w:ind w:firstLine="630"/>
        <w:textAlignment w:val="auto"/>
        <w:rPr>
          <w:rFonts w:hint="eastAsia" w:ascii="Times New Roman" w:hAnsi="Times New Roman" w:eastAsia="方正仿宋_GBK"/>
          <w:color w:val="auto"/>
          <w:sz w:val="32"/>
          <w:szCs w:val="32"/>
          <w:highlight w:val="none"/>
        </w:rPr>
      </w:pPr>
      <w:r>
        <w:rPr>
          <w:rFonts w:hint="eastAsia" w:eastAsia="方正仿宋_GBK"/>
          <w:szCs w:val="32"/>
          <w:lang w:val="en-US" w:eastAsia="zh-CN"/>
        </w:rPr>
        <w:t>安岳县人民代表大会常务委员会办公室</w:t>
      </w:r>
      <w:r>
        <w:rPr>
          <w:rFonts w:hint="eastAsia" w:eastAsia="方正仿宋_GBK"/>
          <w:color w:val="auto"/>
          <w:sz w:val="32"/>
          <w:szCs w:val="32"/>
          <w:highlight w:val="none"/>
          <w:lang w:eastAsia="zh-CN"/>
        </w:rPr>
        <w:t>202</w:t>
      </w:r>
      <w:r>
        <w:rPr>
          <w:rFonts w:hint="eastAsia" w:eastAsia="方正仿宋_GBK"/>
          <w:color w:val="auto"/>
          <w:sz w:val="32"/>
          <w:szCs w:val="32"/>
          <w:highlight w:val="none"/>
          <w:lang w:val="en-US" w:eastAsia="zh-CN"/>
        </w:rPr>
        <w:t>6</w:t>
      </w:r>
      <w:r>
        <w:rPr>
          <w:rFonts w:hint="eastAsia" w:eastAsia="方正仿宋_GBK"/>
          <w:color w:val="auto"/>
          <w:sz w:val="32"/>
          <w:szCs w:val="32"/>
          <w:highlight w:val="none"/>
          <w:lang w:eastAsia="zh-CN"/>
        </w:rPr>
        <w:t>年</w:t>
      </w:r>
      <w:r>
        <w:rPr>
          <w:rFonts w:ascii="Times New Roman" w:hAnsi="Times New Roman" w:eastAsia="方正仿宋_GBK"/>
          <w:color w:val="auto"/>
          <w:sz w:val="32"/>
          <w:szCs w:val="32"/>
          <w:highlight w:val="none"/>
        </w:rPr>
        <w:t>机关运行经费财政拨款预算为</w:t>
      </w:r>
      <w:r>
        <w:rPr>
          <w:rFonts w:hint="eastAsia" w:eastAsia="方正仿宋_GBK"/>
          <w:color w:val="auto"/>
          <w:sz w:val="32"/>
          <w:szCs w:val="32"/>
          <w:highlight w:val="none"/>
          <w:lang w:val="en-US" w:eastAsia="zh-CN"/>
        </w:rPr>
        <w:t>33.75</w:t>
      </w:r>
      <w:r>
        <w:rPr>
          <w:rFonts w:ascii="Times New Roman" w:hAnsi="Times New Roman" w:eastAsia="方正仿宋_GBK"/>
          <w:color w:val="auto"/>
          <w:sz w:val="32"/>
          <w:szCs w:val="32"/>
          <w:highlight w:val="none"/>
        </w:rPr>
        <w:t>万元，比</w:t>
      </w:r>
      <w:r>
        <w:rPr>
          <w:rFonts w:hint="eastAsia" w:eastAsia="方正仿宋_GBK"/>
          <w:color w:val="auto"/>
          <w:sz w:val="32"/>
          <w:szCs w:val="32"/>
          <w:highlight w:val="none"/>
          <w:lang w:eastAsia="zh-CN"/>
        </w:rPr>
        <w:t>202</w:t>
      </w:r>
      <w:r>
        <w:rPr>
          <w:rFonts w:hint="eastAsia" w:eastAsia="方正仿宋_GBK"/>
          <w:color w:val="auto"/>
          <w:sz w:val="32"/>
          <w:szCs w:val="32"/>
          <w:highlight w:val="none"/>
          <w:lang w:val="en-US" w:eastAsia="zh-CN"/>
        </w:rPr>
        <w:t>5</w:t>
      </w:r>
      <w:r>
        <w:rPr>
          <w:rFonts w:hint="eastAsia" w:eastAsia="方正仿宋_GBK"/>
          <w:color w:val="auto"/>
          <w:sz w:val="32"/>
          <w:szCs w:val="32"/>
          <w:highlight w:val="none"/>
          <w:lang w:eastAsia="zh-CN"/>
        </w:rPr>
        <w:t>年</w:t>
      </w:r>
      <w:r>
        <w:rPr>
          <w:rFonts w:ascii="Times New Roman" w:hAnsi="Times New Roman" w:eastAsia="方正仿宋_GBK"/>
          <w:color w:val="auto"/>
          <w:sz w:val="32"/>
          <w:szCs w:val="32"/>
          <w:highlight w:val="none"/>
        </w:rPr>
        <w:t>预算</w:t>
      </w:r>
      <w:r>
        <w:rPr>
          <w:rFonts w:hint="eastAsia" w:ascii="Times New Roman" w:hAnsi="Times New Roman" w:eastAsia="方正仿宋_GBK"/>
          <w:color w:val="auto"/>
          <w:sz w:val="32"/>
          <w:szCs w:val="32"/>
          <w:highlight w:val="none"/>
        </w:rPr>
        <w:t>减少</w:t>
      </w:r>
      <w:r>
        <w:rPr>
          <w:rFonts w:hint="eastAsia" w:eastAsia="方正仿宋_GBK"/>
          <w:color w:val="auto"/>
          <w:sz w:val="32"/>
          <w:szCs w:val="32"/>
          <w:highlight w:val="none"/>
          <w:lang w:val="en-US" w:eastAsia="zh-CN"/>
        </w:rPr>
        <w:t>4.38</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rPr>
        <w:t>下降</w:t>
      </w:r>
      <w:r>
        <w:rPr>
          <w:rFonts w:hint="eastAsia" w:eastAsia="方正仿宋_GBK"/>
          <w:color w:val="auto"/>
          <w:sz w:val="32"/>
          <w:szCs w:val="32"/>
          <w:highlight w:val="none"/>
          <w:lang w:val="en-US" w:eastAsia="zh-CN"/>
        </w:rPr>
        <w:t>11.49</w:t>
      </w:r>
      <w:r>
        <w:rPr>
          <w:rFonts w:ascii="Times New Roman" w:hAnsi="Times New Roman" w:eastAsia="方正仿宋_GBK"/>
          <w:color w:val="auto"/>
          <w:sz w:val="32"/>
          <w:szCs w:val="32"/>
          <w:highlight w:val="none"/>
        </w:rPr>
        <w:t>%。</w:t>
      </w:r>
    </w:p>
    <w:p w14:paraId="0C717D28">
      <w:pPr>
        <w:keepNext w:val="0"/>
        <w:keepLines w:val="0"/>
        <w:pageBreakBefore w:val="0"/>
        <w:widowControl w:val="0"/>
        <w:kinsoku/>
        <w:wordWrap/>
        <w:overflowPunct/>
        <w:topLinePunct w:val="0"/>
        <w:autoSpaceDE/>
        <w:autoSpaceDN/>
        <w:bidi w:val="0"/>
        <w:spacing w:line="580" w:lineRule="exact"/>
        <w:ind w:firstLine="617" w:firstLineChars="192"/>
        <w:textAlignment w:val="auto"/>
        <w:rPr>
          <w:rFonts w:hint="eastAsia" w:ascii="Times New Roman" w:hAnsi="Times New Roman" w:eastAsia="方正楷体_GBK"/>
          <w:b/>
          <w:color w:val="auto"/>
          <w:sz w:val="32"/>
          <w:szCs w:val="32"/>
        </w:rPr>
      </w:pPr>
      <w:r>
        <w:rPr>
          <w:rFonts w:hint="eastAsia" w:ascii="Times New Roman" w:hAnsi="Times New Roman" w:eastAsia="方正楷体_GBK"/>
          <w:b/>
          <w:color w:val="auto"/>
          <w:sz w:val="32"/>
          <w:szCs w:val="32"/>
        </w:rPr>
        <w:t>（二）政府采购情况</w:t>
      </w:r>
    </w:p>
    <w:p w14:paraId="11181A37">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lang w:eastAsia="zh-CN"/>
        </w:rPr>
        <w:t>2025年</w:t>
      </w:r>
      <w:r>
        <w:rPr>
          <w:rFonts w:ascii="Times New Roman" w:hAnsi="Times New Roman" w:eastAsia="方正仿宋_GBK"/>
          <w:color w:val="auto"/>
          <w:sz w:val="32"/>
          <w:szCs w:val="32"/>
        </w:rPr>
        <w:t>，</w:t>
      </w:r>
      <w:r>
        <w:rPr>
          <w:rFonts w:hint="eastAsia" w:eastAsia="方正仿宋_GBK"/>
          <w:szCs w:val="32"/>
          <w:lang w:val="en-US" w:eastAsia="zh-CN"/>
        </w:rPr>
        <w:t>安岳县人民代表大会常务委员会办公室</w:t>
      </w:r>
      <w:r>
        <w:rPr>
          <w:rFonts w:ascii="Times New Roman" w:hAnsi="Times New Roman" w:eastAsia="方正仿宋_GBK"/>
          <w:color w:val="auto"/>
          <w:sz w:val="32"/>
          <w:szCs w:val="32"/>
          <w:highlight w:val="none"/>
        </w:rPr>
        <w:t>安排政府采购预算</w:t>
      </w:r>
      <w:r>
        <w:rPr>
          <w:rFonts w:hint="eastAsia" w:eastAsia="方正仿宋_GBK"/>
          <w:color w:val="auto"/>
          <w:sz w:val="32"/>
          <w:szCs w:val="32"/>
          <w:highlight w:val="none"/>
          <w:lang w:val="en-US" w:eastAsia="zh-CN"/>
        </w:rPr>
        <w:t>22</w:t>
      </w:r>
      <w:r>
        <w:rPr>
          <w:rFonts w:ascii="Times New Roman" w:hAnsi="Times New Roman" w:eastAsia="方正仿宋_GBK"/>
          <w:color w:val="auto"/>
          <w:sz w:val="32"/>
          <w:szCs w:val="32"/>
          <w:highlight w:val="none"/>
        </w:rPr>
        <w:t>万元，主要用于</w:t>
      </w:r>
      <w:r>
        <w:rPr>
          <w:rFonts w:hint="eastAsia" w:eastAsia="方正仿宋_GBK"/>
          <w:color w:val="auto"/>
          <w:sz w:val="32"/>
          <w:szCs w:val="32"/>
          <w:highlight w:val="none"/>
          <w:lang w:val="en-US" w:eastAsia="zh-CN"/>
        </w:rPr>
        <w:t>车辆燃油费、保险费</w:t>
      </w:r>
      <w:r>
        <w:rPr>
          <w:rFonts w:ascii="Times New Roman" w:hAnsi="Times New Roman" w:eastAsia="方正仿宋_GBK"/>
          <w:color w:val="auto"/>
          <w:sz w:val="32"/>
          <w:szCs w:val="32"/>
          <w:highlight w:val="none"/>
        </w:rPr>
        <w:t>等。</w:t>
      </w:r>
    </w:p>
    <w:p w14:paraId="79E9EA1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方正楷体_GBK"/>
          <w:b/>
          <w:color w:val="auto"/>
          <w:sz w:val="32"/>
          <w:szCs w:val="32"/>
        </w:rPr>
      </w:pPr>
      <w:r>
        <w:rPr>
          <w:rFonts w:hint="eastAsia" w:ascii="Times New Roman" w:hAnsi="Times New Roman" w:eastAsia="方正楷体_GBK"/>
          <w:b/>
          <w:color w:val="auto"/>
          <w:sz w:val="32"/>
          <w:szCs w:val="32"/>
        </w:rPr>
        <w:t>（三）国有资产占有使用情况</w:t>
      </w:r>
    </w:p>
    <w:p w14:paraId="1ABDE2FD">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highlight w:val="yellow"/>
          <w:lang w:eastAsia="zh-CN"/>
        </w:rPr>
      </w:pPr>
      <w:r>
        <w:rPr>
          <w:rFonts w:hint="eastAsia" w:ascii="Times New Roman" w:hAnsi="Times New Roman" w:eastAsia="方正仿宋_GBK"/>
          <w:color w:val="auto"/>
          <w:sz w:val="32"/>
          <w:szCs w:val="32"/>
        </w:rPr>
        <w:t>截至</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ascii="Times New Roman" w:hAnsi="Times New Roman" w:eastAsia="方正仿宋_GBK"/>
          <w:color w:val="auto"/>
          <w:sz w:val="32"/>
          <w:szCs w:val="32"/>
        </w:rPr>
        <w:t>底，</w:t>
      </w:r>
      <w:r>
        <w:rPr>
          <w:rFonts w:hint="eastAsia" w:eastAsia="方正仿宋_GBK"/>
          <w:szCs w:val="32"/>
          <w:lang w:val="en-US" w:eastAsia="zh-CN"/>
        </w:rPr>
        <w:t>安岳县人民代表大会常务委员会办公室</w:t>
      </w:r>
      <w:r>
        <w:rPr>
          <w:rFonts w:hint="eastAsia" w:ascii="Times New Roman" w:hAnsi="Times New Roman" w:eastAsia="方正仿宋_GBK"/>
          <w:color w:val="auto"/>
          <w:sz w:val="32"/>
          <w:szCs w:val="32"/>
        </w:rPr>
        <w:t>单位共有车辆</w:t>
      </w:r>
      <w:r>
        <w:rPr>
          <w:rFonts w:hint="eastAsia" w:eastAsia="方正仿宋_GBK"/>
          <w:color w:val="auto"/>
          <w:sz w:val="32"/>
          <w:szCs w:val="32"/>
          <w:lang w:val="en-US" w:eastAsia="zh-CN"/>
        </w:rPr>
        <w:t>0</w:t>
      </w:r>
      <w:r>
        <w:rPr>
          <w:rFonts w:hint="eastAsia" w:ascii="Times New Roman" w:hAnsi="Times New Roman" w:eastAsia="方正仿宋_GBK"/>
          <w:color w:val="auto"/>
          <w:sz w:val="32"/>
          <w:szCs w:val="32"/>
        </w:rPr>
        <w:t>辆</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highlight w:val="none"/>
        </w:rPr>
        <w:t>单位价值万元以上设备</w:t>
      </w:r>
      <w:r>
        <w:rPr>
          <w:rFonts w:hint="eastAsia" w:eastAsia="方正仿宋_GBK"/>
          <w:color w:val="auto"/>
          <w:sz w:val="32"/>
          <w:szCs w:val="32"/>
          <w:highlight w:val="none"/>
          <w:lang w:val="en-US" w:eastAsia="zh-CN"/>
        </w:rPr>
        <w:t>0</w:t>
      </w:r>
      <w:r>
        <w:rPr>
          <w:rFonts w:hint="eastAsia" w:ascii="Times New Roman" w:hAnsi="Times New Roman" w:eastAsia="方正仿宋_GBK"/>
          <w:color w:val="auto"/>
          <w:sz w:val="32"/>
          <w:szCs w:val="32"/>
          <w:highlight w:val="none"/>
        </w:rPr>
        <w:t>台（套）</w:t>
      </w:r>
      <w:r>
        <w:rPr>
          <w:rFonts w:hint="eastAsia" w:eastAsia="方正仿宋_GBK"/>
          <w:color w:val="auto"/>
          <w:sz w:val="32"/>
          <w:szCs w:val="32"/>
          <w:highlight w:val="none"/>
          <w:lang w:eastAsia="zh-CN"/>
        </w:rPr>
        <w:t>。</w:t>
      </w:r>
    </w:p>
    <w:p w14:paraId="45CE7F3A">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eastAsia="zh-CN"/>
        </w:rPr>
        <w:t>202</w:t>
      </w:r>
      <w:r>
        <w:rPr>
          <w:rFonts w:hint="eastAsia" w:eastAsia="方正仿宋_GBK"/>
          <w:color w:val="auto"/>
          <w:sz w:val="32"/>
          <w:szCs w:val="32"/>
          <w:highlight w:val="none"/>
          <w:lang w:val="en-US" w:eastAsia="zh-CN"/>
        </w:rPr>
        <w:t>6</w:t>
      </w:r>
      <w:r>
        <w:rPr>
          <w:rFonts w:hint="eastAsia" w:eastAsia="方正仿宋_GBK"/>
          <w:color w:val="auto"/>
          <w:sz w:val="32"/>
          <w:szCs w:val="32"/>
          <w:highlight w:val="none"/>
          <w:lang w:eastAsia="zh-CN"/>
        </w:rPr>
        <w:t>年</w:t>
      </w:r>
      <w:r>
        <w:rPr>
          <w:rFonts w:hint="eastAsia" w:ascii="Times New Roman" w:hAnsi="Times New Roman" w:eastAsia="方正仿宋_GBK"/>
          <w:color w:val="auto"/>
          <w:sz w:val="32"/>
          <w:szCs w:val="32"/>
          <w:highlight w:val="none"/>
        </w:rPr>
        <w:t>单位预算安排购置车辆</w:t>
      </w:r>
      <w:r>
        <w:rPr>
          <w:rFonts w:hint="eastAsia" w:eastAsia="方正仿宋_GBK"/>
          <w:color w:val="auto"/>
          <w:sz w:val="32"/>
          <w:szCs w:val="32"/>
          <w:highlight w:val="none"/>
          <w:lang w:val="en-US" w:eastAsia="zh-CN"/>
        </w:rPr>
        <w:t>0</w:t>
      </w:r>
      <w:r>
        <w:rPr>
          <w:rFonts w:hint="eastAsia" w:ascii="Times New Roman" w:hAnsi="Times New Roman" w:eastAsia="方正仿宋_GBK"/>
          <w:color w:val="auto"/>
          <w:sz w:val="32"/>
          <w:szCs w:val="32"/>
          <w:highlight w:val="none"/>
        </w:rPr>
        <w:t>辆</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安排购置</w:t>
      </w:r>
      <w:r>
        <w:rPr>
          <w:rFonts w:hint="eastAsia" w:ascii="Times New Roman" w:hAnsi="Times New Roman" w:eastAsia="方正仿宋_GBK"/>
          <w:color w:val="auto"/>
          <w:sz w:val="32"/>
          <w:szCs w:val="32"/>
          <w:highlight w:val="none"/>
        </w:rPr>
        <w:t>单位价值万元以上设备</w:t>
      </w:r>
      <w:r>
        <w:rPr>
          <w:rFonts w:hint="eastAsia" w:eastAsia="方正仿宋_GBK"/>
          <w:color w:val="auto"/>
          <w:sz w:val="32"/>
          <w:szCs w:val="32"/>
          <w:highlight w:val="none"/>
          <w:lang w:val="en-US" w:eastAsia="zh-CN"/>
        </w:rPr>
        <w:t>0</w:t>
      </w:r>
      <w:r>
        <w:rPr>
          <w:rFonts w:hint="eastAsia" w:ascii="Times New Roman" w:hAnsi="Times New Roman" w:eastAsia="方正仿宋_GBK"/>
          <w:color w:val="auto"/>
          <w:sz w:val="32"/>
          <w:szCs w:val="32"/>
          <w:highlight w:val="none"/>
        </w:rPr>
        <w:t>台（套）。</w:t>
      </w:r>
    </w:p>
    <w:p w14:paraId="6631C781">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方正楷体_GBK"/>
          <w:b/>
          <w:color w:val="auto"/>
          <w:sz w:val="32"/>
          <w:szCs w:val="32"/>
        </w:rPr>
      </w:pPr>
      <w:r>
        <w:rPr>
          <w:rFonts w:hint="eastAsia" w:ascii="Times New Roman" w:hAnsi="Times New Roman" w:eastAsia="方正楷体_GBK"/>
          <w:b/>
          <w:color w:val="auto"/>
          <w:sz w:val="32"/>
          <w:szCs w:val="32"/>
        </w:rPr>
        <w:t>（四）绩效目标设置情况</w:t>
      </w:r>
    </w:p>
    <w:p w14:paraId="5BC199F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绩效目标是预算编制的前提和基础，按照“费随事定”的原则，</w:t>
      </w:r>
      <w:r>
        <w:rPr>
          <w:rFonts w:hint="eastAsia" w:eastAsia="方正仿宋_GBK"/>
          <w:color w:val="auto"/>
          <w:sz w:val="32"/>
          <w:szCs w:val="32"/>
          <w:lang w:eastAsia="zh-CN"/>
        </w:rPr>
        <w:t>2026年</w:t>
      </w:r>
      <w:r>
        <w:rPr>
          <w:rFonts w:hint="eastAsia" w:eastAsia="方正仿宋_GBK"/>
          <w:color w:val="auto"/>
          <w:sz w:val="32"/>
          <w:szCs w:val="32"/>
          <w:lang w:val="en-US" w:eastAsia="zh-CN"/>
        </w:rPr>
        <w:t>安岳县人民代表大会财务委员会办公室</w:t>
      </w:r>
      <w:r>
        <w:rPr>
          <w:rFonts w:hint="eastAsia" w:ascii="Times New Roman" w:hAnsi="Times New Roman" w:eastAsia="方正仿宋_GBK"/>
          <w:color w:val="auto"/>
          <w:sz w:val="32"/>
          <w:szCs w:val="32"/>
        </w:rPr>
        <w:t>就部门整体支出和所有项目支出按要求编制了绩效目标，从项目完成、项目效益、满意度等方面设置了绩效指标，综合反映项目预期完成的数量、成本、时效、质量，预期达到的社会效益、经济效益、生态效益、可持续影响以及服务对象满意度等情况。（绩效目标具体情况详见公开表中的绩效目标表）。</w:t>
      </w:r>
    </w:p>
    <w:p w14:paraId="27E95A38">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十一、名词解释</w:t>
      </w:r>
    </w:p>
    <w:p w14:paraId="33E6414F">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（一）</w:t>
      </w:r>
      <w:r>
        <w:rPr>
          <w:rFonts w:hint="eastAsia" w:ascii="Times New Roman" w:hAnsi="Times New Roman" w:eastAsia="方正仿宋_GBK"/>
          <w:color w:val="auto"/>
          <w:sz w:val="32"/>
          <w:szCs w:val="32"/>
          <w:lang w:val="en-US" w:eastAsia="zh-CN"/>
        </w:rPr>
        <w:t>财政拨款收入：指单位从同级财政部门取得的财政预算资金。</w:t>
      </w:r>
    </w:p>
    <w:p w14:paraId="7E78C114">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二</w:t>
      </w:r>
      <w:r>
        <w:rPr>
          <w:rFonts w:hint="eastAsia" w:ascii="Times New Roman" w:hAnsi="Times New Roman" w:eastAsia="方正仿宋_GBK"/>
          <w:color w:val="auto"/>
          <w:sz w:val="32"/>
          <w:szCs w:val="32"/>
        </w:rPr>
        <w:t>）基本支出：指为保证机构正常运转，完成日常工作任务而发生的人员支出和公用支出。</w:t>
      </w:r>
    </w:p>
    <w:p w14:paraId="677D7645">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三</w:t>
      </w:r>
      <w:r>
        <w:rPr>
          <w:rFonts w:hint="eastAsia" w:ascii="Times New Roman" w:hAnsi="Times New Roman" w:eastAsia="方正仿宋_GBK"/>
          <w:color w:val="auto"/>
          <w:sz w:val="32"/>
          <w:szCs w:val="32"/>
        </w:rPr>
        <w:t>）项目支出：指在基本支出之外为完成特定行政任务和事业发展目标所发生的支出。</w:t>
      </w:r>
    </w:p>
    <w:p w14:paraId="70AA18A6">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四</w:t>
      </w:r>
      <w:r>
        <w:rPr>
          <w:rFonts w:hint="eastAsia" w:ascii="Times New Roman" w:hAnsi="Times New Roman" w:eastAsia="方正仿宋_GBK"/>
          <w:color w:val="auto"/>
          <w:sz w:val="32"/>
          <w:szCs w:val="32"/>
        </w:rPr>
        <w:t>）“三公”经费：纳入财政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含外宾接待</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支出。</w:t>
      </w:r>
    </w:p>
    <w:p w14:paraId="49708537">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五</w:t>
      </w:r>
      <w:r>
        <w:rPr>
          <w:rFonts w:hint="eastAsia" w:ascii="Times New Roman" w:hAnsi="Times New Roman" w:eastAsia="方正仿宋_GBK"/>
          <w:color w:val="auto"/>
          <w:sz w:val="32"/>
          <w:szCs w:val="32"/>
        </w:rPr>
        <w:t>）机关运行经费：为保障行政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62945004">
      <w:pPr>
        <w:pStyle w:val="2"/>
        <w:rPr>
          <w:rFonts w:hint="eastAsia"/>
        </w:rPr>
      </w:pPr>
    </w:p>
    <w:p w14:paraId="7710F8C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附件：</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部门预算公开表</w:t>
      </w:r>
    </w:p>
    <w:p w14:paraId="7B20AC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6ECC3-E6B6-48D4-A8F4-7D40345668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3DD54A-33E7-4603-814B-B56CBA73E1DA}"/>
  </w:font>
  <w:font w:name="仿宋_GB2312">
    <w:altName w:val="仿宋"/>
    <w:panose1 w:val="02010609030101010101"/>
    <w:charset w:val="86"/>
    <w:family w:val="modern"/>
    <w:pitch w:val="default"/>
    <w:sig w:usb0="00000000" w:usb1="00000000" w:usb2="00000000" w:usb3="00000000" w:csb0="00040000" w:csb1="00000000"/>
    <w:embedRegular r:id="rId3" w:fontKey="{D4C58218-6F7D-4452-A431-8868F041F38B}"/>
  </w:font>
  <w:font w:name="仿宋">
    <w:panose1 w:val="02010609060101010101"/>
    <w:charset w:val="86"/>
    <w:family w:val="auto"/>
    <w:pitch w:val="default"/>
    <w:sig w:usb0="800002BF" w:usb1="38CF7CFA" w:usb2="00000016" w:usb3="00000000" w:csb0="00040001" w:csb1="00000000"/>
  </w:font>
  <w:font w:name="ￋￎￌ￥">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C00F7CE5-F7CB-42F0-B72E-E5781AFEF8A9}"/>
  </w:font>
  <w:font w:name="方正仿宋_GBK">
    <w:panose1 w:val="03000509000000000000"/>
    <w:charset w:val="86"/>
    <w:family w:val="auto"/>
    <w:pitch w:val="default"/>
    <w:sig w:usb0="00000001" w:usb1="080E0000" w:usb2="00000000" w:usb3="00000000" w:csb0="00040000" w:csb1="00000000"/>
    <w:embedRegular r:id="rId5" w:fontKey="{D3A46DE3-87F2-4A5A-A18B-6DA211A683D9}"/>
  </w:font>
  <w:font w:name="方正黑体_GBK">
    <w:panose1 w:val="03000509000000000000"/>
    <w:charset w:val="86"/>
    <w:family w:val="auto"/>
    <w:pitch w:val="default"/>
    <w:sig w:usb0="00000001" w:usb1="080E0000" w:usb2="00000000" w:usb3="00000000" w:csb0="00040000" w:csb1="00000000"/>
    <w:embedRegular r:id="rId6" w:fontKey="{6070DB70-9F74-4E5C-9586-A3BA0086FCA5}"/>
  </w:font>
  <w:font w:name="方正楷体_GBK">
    <w:panose1 w:val="03000509000000000000"/>
    <w:charset w:val="86"/>
    <w:family w:val="auto"/>
    <w:pitch w:val="default"/>
    <w:sig w:usb0="00000001" w:usb1="080E0000" w:usb2="00000000" w:usb3="00000000" w:csb0="00040000" w:csb1="00000000"/>
    <w:embedRegular r:id="rId7" w:fontKey="{29D16096-425C-4021-8620-49F9406C4A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71A90"/>
    <w:rsid w:val="0BB05F2E"/>
    <w:rsid w:val="12D77793"/>
    <w:rsid w:val="15761C7C"/>
    <w:rsid w:val="157F7058"/>
    <w:rsid w:val="185540E5"/>
    <w:rsid w:val="29DD03DE"/>
    <w:rsid w:val="2D320A41"/>
    <w:rsid w:val="300F0BC6"/>
    <w:rsid w:val="4C8E5978"/>
    <w:rsid w:val="542B003A"/>
    <w:rsid w:val="5C1B7E6F"/>
    <w:rsid w:val="61C55405"/>
    <w:rsid w:val="7AA65250"/>
    <w:rsid w:val="7CF71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0"/>
    <w:pPr>
      <w:spacing w:beforeLines="0" w:after="120" w:afterLines="0" w:line="480" w:lineRule="auto"/>
      <w:ind w:left="420" w:leftChars="200"/>
    </w:pPr>
    <w:rPr>
      <w:rFonts w:hint="default" w:ascii="ￋￎￌ￥"/>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3806</Words>
  <Characters>4178</Characters>
  <Lines>0</Lines>
  <Paragraphs>0</Paragraphs>
  <TotalTime>0</TotalTime>
  <ScaleCrop>false</ScaleCrop>
  <LinksUpToDate>false</LinksUpToDate>
  <CharactersWithSpaces>4194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2026-02-07T08:51:00Z</dcterms:created>
  <dc:creator>632173223</dc:creator>
  <cp:lastModifiedBy>632173223</cp:lastModifiedBy>
  <dcterms:modified xsi:type="dcterms:W3CDTF">2026-02-28T07:17:11Z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13C81629718540E581FF423D31A98D68_13</vt:lpwstr>
  </property>
  <property fmtid="{D5CDD505-2E9C-101B-9397-08002B2CF9AE}" pid="4" name="KSOTemplateDocerSaveRecord">
    <vt:lpwstr>eyJoZGlkIjoiZjhmNzIwYzRiMDY2MzE1MDVhZTQ1NWI2MGE2ZjU3NTMiLCJ1c2VySWQiOiIzMjQ3MjQ3ODYifQ==</vt:lpwstr>
  </property>
</Properties>
</file>